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30D4" w14:textId="6B550531" w:rsidR="00463CEE" w:rsidRPr="00943588" w:rsidRDefault="00463CEE" w:rsidP="00463CEE">
      <w:pPr>
        <w:jc w:val="center"/>
        <w:rPr>
          <w:rFonts w:cstheme="minorHAnsi"/>
          <w:b/>
          <w:bCs/>
          <w:u w:val="single"/>
          <w:lang w:val="en-GB"/>
        </w:rPr>
      </w:pPr>
      <w:bookmarkStart w:id="0" w:name="_GoBack"/>
      <w:bookmarkEnd w:id="0"/>
      <w:r w:rsidRPr="00943588">
        <w:rPr>
          <w:rFonts w:cstheme="minorHAnsi"/>
          <w:b/>
          <w:bCs/>
          <w:u w:val="single"/>
          <w:lang w:val="en-GB"/>
        </w:rPr>
        <w:t>“Give Me Just a Little More Time”</w:t>
      </w:r>
    </w:p>
    <w:p w14:paraId="37B50CFB" w14:textId="5AEEB142" w:rsidR="00463CEE" w:rsidRPr="00943588" w:rsidRDefault="00463CEE" w:rsidP="00463CEE">
      <w:pPr>
        <w:jc w:val="center"/>
        <w:rPr>
          <w:rFonts w:cstheme="minorHAnsi"/>
          <w:b/>
          <w:bCs/>
          <w:u w:val="single"/>
          <w:lang w:val="en-GB"/>
        </w:rPr>
      </w:pPr>
      <w:r w:rsidRPr="00943588">
        <w:rPr>
          <w:rFonts w:cstheme="minorHAnsi"/>
          <w:b/>
          <w:bCs/>
          <w:u w:val="single"/>
          <w:lang w:val="en-GB"/>
        </w:rPr>
        <w:t>Olympics v Wimbledon and the Legal Problems arising from the Deferral as Opposed to Cancellation of Sporting Events</w:t>
      </w:r>
    </w:p>
    <w:p w14:paraId="12132724" w14:textId="77777777" w:rsidR="003548E4" w:rsidRPr="00943588" w:rsidRDefault="003548E4" w:rsidP="00463CEE">
      <w:pPr>
        <w:jc w:val="center"/>
        <w:rPr>
          <w:rFonts w:cstheme="minorHAnsi"/>
          <w:b/>
          <w:bCs/>
          <w:u w:val="single"/>
          <w:lang w:val="en-GB"/>
        </w:rPr>
      </w:pPr>
    </w:p>
    <w:p w14:paraId="08B12A1F" w14:textId="2D7EEF96" w:rsidR="00463CEE" w:rsidRPr="00943588" w:rsidRDefault="00463CEE" w:rsidP="00716CB0">
      <w:pPr>
        <w:jc w:val="both"/>
        <w:rPr>
          <w:rFonts w:cstheme="minorHAnsi"/>
          <w:b/>
          <w:bCs/>
          <w:i/>
          <w:iCs/>
          <w:lang w:val="en-GB"/>
        </w:rPr>
      </w:pPr>
      <w:r w:rsidRPr="00943588">
        <w:rPr>
          <w:rFonts w:cstheme="minorHAnsi"/>
          <w:b/>
          <w:bCs/>
          <w:i/>
          <w:iCs/>
          <w:lang w:val="en-GB"/>
        </w:rPr>
        <w:t xml:space="preserve">Bianca Balmelli and Nicholas Siddall QC analyse the legal issues arising from the </w:t>
      </w:r>
      <w:r w:rsidR="003548E4" w:rsidRPr="00943588">
        <w:rPr>
          <w:rFonts w:cstheme="minorHAnsi"/>
          <w:b/>
          <w:bCs/>
          <w:i/>
          <w:iCs/>
          <w:lang w:val="en-GB"/>
        </w:rPr>
        <w:t>differing</w:t>
      </w:r>
      <w:r w:rsidRPr="00943588">
        <w:rPr>
          <w:rFonts w:cstheme="minorHAnsi"/>
          <w:b/>
          <w:bCs/>
          <w:i/>
          <w:iCs/>
          <w:lang w:val="en-GB"/>
        </w:rPr>
        <w:t xml:space="preserve"> responses of sporting events to the Covid-19 pandemic</w:t>
      </w:r>
    </w:p>
    <w:p w14:paraId="40C5A023" w14:textId="259072E7" w:rsidR="00463CEE" w:rsidRPr="00943588" w:rsidRDefault="00463CEE" w:rsidP="00716CB0">
      <w:pPr>
        <w:jc w:val="both"/>
        <w:rPr>
          <w:rFonts w:cstheme="minorHAnsi"/>
          <w:lang w:val="en-GB"/>
        </w:rPr>
      </w:pPr>
      <w:r w:rsidRPr="00943588">
        <w:rPr>
          <w:rFonts w:cstheme="minorHAnsi"/>
          <w:lang w:val="en-GB"/>
        </w:rPr>
        <w:t>Sport is a matter of big business. All events spread their web widely into the commercial sphere. Beyond an event’s simple ticket sales a complex matrix of contractual obligations exist such a</w:t>
      </w:r>
      <w:r w:rsidR="003A6571" w:rsidRPr="00943588">
        <w:rPr>
          <w:rFonts w:cstheme="minorHAnsi"/>
          <w:lang w:val="en-GB"/>
        </w:rPr>
        <w:t>s</w:t>
      </w:r>
      <w:r w:rsidR="003548E4" w:rsidRPr="00943588">
        <w:rPr>
          <w:rFonts w:cstheme="minorHAnsi"/>
          <w:lang w:val="en-GB"/>
        </w:rPr>
        <w:t xml:space="preserve"> </w:t>
      </w:r>
      <w:r w:rsidRPr="00943588">
        <w:rPr>
          <w:rFonts w:cstheme="minorHAnsi"/>
          <w:lang w:val="en-GB"/>
        </w:rPr>
        <w:t>sponsorship, image rights, TV deals and advertising.</w:t>
      </w:r>
    </w:p>
    <w:p w14:paraId="3D8EF4BF" w14:textId="713534F9" w:rsidR="00463CEE" w:rsidRPr="00943588" w:rsidRDefault="00463CEE" w:rsidP="00716CB0">
      <w:pPr>
        <w:jc w:val="both"/>
        <w:rPr>
          <w:rFonts w:cstheme="minorHAnsi"/>
          <w:lang w:val="en-GB"/>
        </w:rPr>
      </w:pPr>
      <w:r w:rsidRPr="00943588">
        <w:rPr>
          <w:rFonts w:cstheme="minorHAnsi"/>
          <w:lang w:val="en-GB"/>
        </w:rPr>
        <w:t>Responses to the pandemic have varied. It is well publicised that the Tokyo Olympics have been d</w:t>
      </w:r>
      <w:r w:rsidR="003548E4" w:rsidRPr="00943588">
        <w:rPr>
          <w:rFonts w:cstheme="minorHAnsi"/>
          <w:lang w:val="en-GB"/>
        </w:rPr>
        <w:t>eferr</w:t>
      </w:r>
      <w:r w:rsidRPr="00943588">
        <w:rPr>
          <w:rFonts w:cstheme="minorHAnsi"/>
          <w:lang w:val="en-GB"/>
        </w:rPr>
        <w:t xml:space="preserve">ed for a period of one year. By contrast the All England Championships at Wimbledon have been cancelled </w:t>
      </w:r>
      <w:r w:rsidR="005D4D6D" w:rsidRPr="00943588">
        <w:rPr>
          <w:rFonts w:cstheme="minorHAnsi"/>
          <w:lang w:val="en-GB"/>
        </w:rPr>
        <w:t xml:space="preserve">for the first time </w:t>
      </w:r>
      <w:r w:rsidRPr="00943588">
        <w:rPr>
          <w:rFonts w:cstheme="minorHAnsi"/>
          <w:lang w:val="en-GB"/>
        </w:rPr>
        <w:t xml:space="preserve">since </w:t>
      </w:r>
      <w:r w:rsidR="005D4D6D" w:rsidRPr="00943588">
        <w:rPr>
          <w:rFonts w:cstheme="minorHAnsi"/>
          <w:lang w:val="en-GB"/>
        </w:rPr>
        <w:t>WW2.</w:t>
      </w:r>
    </w:p>
    <w:p w14:paraId="3D54025E" w14:textId="4C896AA4" w:rsidR="00463CEE" w:rsidRPr="00943588" w:rsidRDefault="00463CEE" w:rsidP="00716CB0">
      <w:pPr>
        <w:jc w:val="both"/>
        <w:rPr>
          <w:rFonts w:cstheme="minorHAnsi"/>
          <w:lang w:val="en-GB"/>
        </w:rPr>
      </w:pPr>
      <w:r w:rsidRPr="00943588">
        <w:rPr>
          <w:rFonts w:cstheme="minorHAnsi"/>
          <w:lang w:val="en-GB"/>
        </w:rPr>
        <w:t xml:space="preserve">This article examines the legal position </w:t>
      </w:r>
      <w:r w:rsidR="003A6571" w:rsidRPr="00943588">
        <w:rPr>
          <w:rFonts w:cstheme="minorHAnsi"/>
          <w:lang w:val="en-GB"/>
        </w:rPr>
        <w:t>of obligations regarding</w:t>
      </w:r>
      <w:r w:rsidR="00BC6ED5" w:rsidRPr="00943588">
        <w:rPr>
          <w:rFonts w:cstheme="minorHAnsi"/>
          <w:lang w:val="en-GB"/>
        </w:rPr>
        <w:t xml:space="preserve"> sporting events </w:t>
      </w:r>
      <w:r w:rsidRPr="00943588">
        <w:rPr>
          <w:rFonts w:cstheme="minorHAnsi"/>
          <w:lang w:val="en-GB"/>
        </w:rPr>
        <w:t xml:space="preserve">as a matter of contract and then addresses the extent to which that analysis varies depending on the approach </w:t>
      </w:r>
      <w:r w:rsidR="005D4D6D" w:rsidRPr="00943588">
        <w:rPr>
          <w:rFonts w:cstheme="minorHAnsi"/>
          <w:lang w:val="en-GB"/>
        </w:rPr>
        <w:t>of</w:t>
      </w:r>
      <w:r w:rsidRPr="00943588">
        <w:rPr>
          <w:rFonts w:cstheme="minorHAnsi"/>
          <w:lang w:val="en-GB"/>
        </w:rPr>
        <w:t xml:space="preserve"> the event.</w:t>
      </w:r>
    </w:p>
    <w:p w14:paraId="5CCAD087" w14:textId="0A93410B" w:rsidR="005D4D6D" w:rsidRPr="00943588" w:rsidRDefault="005D4D6D" w:rsidP="00716CB0">
      <w:pPr>
        <w:jc w:val="both"/>
        <w:rPr>
          <w:rFonts w:cstheme="minorHAnsi"/>
          <w:b/>
          <w:bCs/>
          <w:u w:val="single"/>
          <w:lang w:val="en-GB"/>
        </w:rPr>
      </w:pPr>
      <w:r w:rsidRPr="00943588">
        <w:rPr>
          <w:rFonts w:cstheme="minorHAnsi"/>
          <w:b/>
          <w:bCs/>
          <w:u w:val="single"/>
          <w:lang w:val="en-GB"/>
        </w:rPr>
        <w:t>The Legal Position</w:t>
      </w:r>
    </w:p>
    <w:p w14:paraId="4EA51650" w14:textId="697E6D0C" w:rsidR="005D4D6D" w:rsidRPr="00943588" w:rsidRDefault="003548E4" w:rsidP="005D4D6D">
      <w:pPr>
        <w:jc w:val="both"/>
        <w:rPr>
          <w:rFonts w:cstheme="minorHAnsi"/>
          <w:lang w:val="en-GB"/>
        </w:rPr>
      </w:pPr>
      <w:r w:rsidRPr="00943588">
        <w:rPr>
          <w:rFonts w:cstheme="minorHAnsi"/>
          <w:lang w:val="en-GB"/>
        </w:rPr>
        <w:t xml:space="preserve">The </w:t>
      </w:r>
      <w:r w:rsidR="005D4D6D" w:rsidRPr="00943588">
        <w:rPr>
          <w:rFonts w:cstheme="minorHAnsi"/>
          <w:lang w:val="en-GB"/>
        </w:rPr>
        <w:t>obligation</w:t>
      </w:r>
      <w:r w:rsidRPr="00943588">
        <w:rPr>
          <w:rFonts w:cstheme="minorHAnsi"/>
          <w:lang w:val="en-GB"/>
        </w:rPr>
        <w:t>s</w:t>
      </w:r>
      <w:r w:rsidR="005D4D6D" w:rsidRPr="00943588">
        <w:rPr>
          <w:rFonts w:cstheme="minorHAnsi"/>
          <w:lang w:val="en-GB"/>
        </w:rPr>
        <w:t xml:space="preserve"> as regards any </w:t>
      </w:r>
      <w:r w:rsidRPr="00943588">
        <w:rPr>
          <w:rFonts w:cstheme="minorHAnsi"/>
          <w:lang w:val="en-GB"/>
        </w:rPr>
        <w:t xml:space="preserve">particular sporting </w:t>
      </w:r>
      <w:r w:rsidR="005D4D6D" w:rsidRPr="00943588">
        <w:rPr>
          <w:rFonts w:cstheme="minorHAnsi"/>
          <w:lang w:val="en-GB"/>
        </w:rPr>
        <w:t xml:space="preserve">event </w:t>
      </w:r>
      <w:r w:rsidRPr="00943588">
        <w:rPr>
          <w:rFonts w:cstheme="minorHAnsi"/>
          <w:lang w:val="en-GB"/>
        </w:rPr>
        <w:t>shal</w:t>
      </w:r>
      <w:r w:rsidR="005D4D6D" w:rsidRPr="00943588">
        <w:rPr>
          <w:rFonts w:cstheme="minorHAnsi"/>
          <w:lang w:val="en-GB"/>
        </w:rPr>
        <w:t>l arise from a contractual relationship</w:t>
      </w:r>
      <w:r w:rsidRPr="00943588">
        <w:rPr>
          <w:rFonts w:cstheme="minorHAnsi"/>
          <w:lang w:val="en-GB"/>
        </w:rPr>
        <w:t>. Thus</w:t>
      </w:r>
      <w:r w:rsidR="005D4D6D" w:rsidRPr="00943588">
        <w:rPr>
          <w:rFonts w:cstheme="minorHAnsi"/>
          <w:lang w:val="en-GB"/>
        </w:rPr>
        <w:t xml:space="preserve"> the first port of call in assessing where the risk falls</w:t>
      </w:r>
      <w:r w:rsidR="00BC6ED5" w:rsidRPr="00943588">
        <w:rPr>
          <w:rFonts w:cstheme="minorHAnsi"/>
          <w:lang w:val="en-GB"/>
        </w:rPr>
        <w:t xml:space="preserve"> shall</w:t>
      </w:r>
      <w:r w:rsidR="005D4D6D" w:rsidRPr="00943588">
        <w:rPr>
          <w:rFonts w:cstheme="minorHAnsi"/>
          <w:lang w:val="en-GB"/>
        </w:rPr>
        <w:t xml:space="preserve"> be</w:t>
      </w:r>
      <w:r w:rsidRPr="00943588">
        <w:rPr>
          <w:rFonts w:cstheme="minorHAnsi"/>
          <w:lang w:val="en-GB"/>
        </w:rPr>
        <w:t xml:space="preserve"> its wording</w:t>
      </w:r>
      <w:r w:rsidR="005D4D6D" w:rsidRPr="00943588">
        <w:rPr>
          <w:rFonts w:cstheme="minorHAnsi"/>
          <w:lang w:val="en-GB"/>
        </w:rPr>
        <w:t>.</w:t>
      </w:r>
    </w:p>
    <w:p w14:paraId="161A7B21" w14:textId="0E8C97A6" w:rsidR="005D4D6D" w:rsidRPr="00943588" w:rsidRDefault="005D4D6D" w:rsidP="00943588">
      <w:pPr>
        <w:spacing w:after="0"/>
        <w:jc w:val="both"/>
        <w:rPr>
          <w:rFonts w:cstheme="minorHAnsi"/>
          <w:lang w:val="en-GB"/>
        </w:rPr>
      </w:pPr>
      <w:r w:rsidRPr="00943588">
        <w:rPr>
          <w:rFonts w:cstheme="minorHAnsi"/>
          <w:lang w:val="en-GB"/>
        </w:rPr>
        <w:t xml:space="preserve">This requires recognition of three </w:t>
      </w:r>
      <w:r w:rsidR="00BC6ED5" w:rsidRPr="00943588">
        <w:rPr>
          <w:rFonts w:cstheme="minorHAnsi"/>
          <w:lang w:val="en-GB"/>
        </w:rPr>
        <w:t>related concepts</w:t>
      </w:r>
      <w:r w:rsidRPr="00943588">
        <w:rPr>
          <w:rFonts w:cstheme="minorHAnsi"/>
          <w:lang w:val="en-GB"/>
        </w:rPr>
        <w:t>:</w:t>
      </w:r>
    </w:p>
    <w:p w14:paraId="467D43A3" w14:textId="505E884E" w:rsidR="005D4D6D" w:rsidRPr="00943588" w:rsidRDefault="005D4D6D" w:rsidP="00943588">
      <w:pPr>
        <w:pStyle w:val="ListParagraph"/>
        <w:numPr>
          <w:ilvl w:val="0"/>
          <w:numId w:val="2"/>
        </w:numPr>
        <w:spacing w:after="0"/>
        <w:jc w:val="both"/>
        <w:rPr>
          <w:rFonts w:cstheme="minorHAnsi"/>
          <w:lang w:val="en-GB"/>
        </w:rPr>
      </w:pPr>
      <w:r w:rsidRPr="00943588">
        <w:rPr>
          <w:rFonts w:cstheme="minorHAnsi"/>
          <w:lang w:val="en-GB"/>
        </w:rPr>
        <w:t>Force Majeure Clauses (“FM”).</w:t>
      </w:r>
    </w:p>
    <w:p w14:paraId="60A7C15F" w14:textId="11A7FE6F" w:rsidR="005D4D6D" w:rsidRPr="00943588" w:rsidRDefault="005D4D6D" w:rsidP="005D4D6D">
      <w:pPr>
        <w:pStyle w:val="ListParagraph"/>
        <w:numPr>
          <w:ilvl w:val="0"/>
          <w:numId w:val="2"/>
        </w:numPr>
        <w:jc w:val="both"/>
        <w:rPr>
          <w:rFonts w:cstheme="minorHAnsi"/>
          <w:lang w:val="en-GB"/>
        </w:rPr>
      </w:pPr>
      <w:r w:rsidRPr="00943588">
        <w:rPr>
          <w:rFonts w:cstheme="minorHAnsi"/>
          <w:lang w:val="en-GB"/>
        </w:rPr>
        <w:t>Material Adverse Change Clauses (“MAC”)</w:t>
      </w:r>
    </w:p>
    <w:p w14:paraId="74D8AB28" w14:textId="6F54FD35" w:rsidR="005D4D6D" w:rsidRPr="00943588" w:rsidRDefault="005D4D6D" w:rsidP="005D4D6D">
      <w:pPr>
        <w:pStyle w:val="ListParagraph"/>
        <w:numPr>
          <w:ilvl w:val="0"/>
          <w:numId w:val="2"/>
        </w:numPr>
        <w:jc w:val="both"/>
        <w:rPr>
          <w:rFonts w:cstheme="minorHAnsi"/>
          <w:lang w:val="en-GB"/>
        </w:rPr>
      </w:pPr>
      <w:r w:rsidRPr="00943588">
        <w:rPr>
          <w:rFonts w:cstheme="minorHAnsi"/>
          <w:lang w:val="en-GB"/>
        </w:rPr>
        <w:t>Frustration</w:t>
      </w:r>
    </w:p>
    <w:p w14:paraId="38C8FB8F" w14:textId="64D65A81" w:rsidR="005D4D6D" w:rsidRPr="00943588" w:rsidRDefault="005D4D6D" w:rsidP="005D4D6D">
      <w:pPr>
        <w:jc w:val="both"/>
        <w:rPr>
          <w:rFonts w:cstheme="minorHAnsi"/>
          <w:u w:val="single"/>
          <w:lang w:val="en-GB"/>
        </w:rPr>
      </w:pPr>
      <w:r w:rsidRPr="00943588">
        <w:rPr>
          <w:rFonts w:cstheme="minorHAnsi"/>
          <w:u w:val="single"/>
          <w:lang w:val="en-GB"/>
        </w:rPr>
        <w:t>(1)</w:t>
      </w:r>
      <w:r w:rsidRPr="00943588">
        <w:rPr>
          <w:rFonts w:cstheme="minorHAnsi"/>
          <w:u w:val="single"/>
          <w:lang w:val="en-GB"/>
        </w:rPr>
        <w:tab/>
        <w:t>FM</w:t>
      </w:r>
    </w:p>
    <w:p w14:paraId="62A27C28" w14:textId="7957974D" w:rsidR="0018349E" w:rsidRPr="00943588" w:rsidRDefault="00FA5AFE" w:rsidP="00483960">
      <w:pPr>
        <w:jc w:val="both"/>
        <w:rPr>
          <w:rFonts w:cstheme="minorHAnsi"/>
          <w:lang w:val="en-GB"/>
        </w:rPr>
      </w:pPr>
      <w:r w:rsidRPr="00943588">
        <w:rPr>
          <w:rFonts w:cstheme="minorHAnsi"/>
          <w:lang w:val="en-GB"/>
        </w:rPr>
        <w:t>Most</w:t>
      </w:r>
      <w:r w:rsidR="00716CB0" w:rsidRPr="00943588">
        <w:rPr>
          <w:rFonts w:cstheme="minorHAnsi"/>
          <w:lang w:val="en-GB"/>
        </w:rPr>
        <w:t xml:space="preserve"> contract</w:t>
      </w:r>
      <w:r w:rsidRPr="00943588">
        <w:rPr>
          <w:rFonts w:cstheme="minorHAnsi"/>
          <w:lang w:val="en-GB"/>
        </w:rPr>
        <w:t>s</w:t>
      </w:r>
      <w:r w:rsidR="00716CB0" w:rsidRPr="00943588">
        <w:rPr>
          <w:rFonts w:cstheme="minorHAnsi"/>
          <w:lang w:val="en-GB"/>
        </w:rPr>
        <w:t xml:space="preserve"> </w:t>
      </w:r>
      <w:r w:rsidRPr="00943588">
        <w:rPr>
          <w:rFonts w:cstheme="minorHAnsi"/>
          <w:lang w:val="en-GB"/>
        </w:rPr>
        <w:t>will</w:t>
      </w:r>
      <w:r w:rsidR="005129FE" w:rsidRPr="00943588">
        <w:rPr>
          <w:rFonts w:cstheme="minorHAnsi"/>
          <w:lang w:val="en-GB"/>
        </w:rPr>
        <w:t xml:space="preserve"> </w:t>
      </w:r>
      <w:r w:rsidR="00716CB0" w:rsidRPr="00943588">
        <w:rPr>
          <w:rFonts w:cstheme="minorHAnsi"/>
          <w:lang w:val="en-GB"/>
        </w:rPr>
        <w:t>contain</w:t>
      </w:r>
      <w:r w:rsidRPr="00943588">
        <w:rPr>
          <w:rFonts w:cstheme="minorHAnsi"/>
          <w:lang w:val="en-GB"/>
        </w:rPr>
        <w:t xml:space="preserve"> </w:t>
      </w:r>
      <w:r w:rsidR="005D4D6D" w:rsidRPr="00943588">
        <w:rPr>
          <w:rFonts w:cstheme="minorHAnsi"/>
          <w:lang w:val="en-GB"/>
        </w:rPr>
        <w:t>a</w:t>
      </w:r>
      <w:r w:rsidR="00BC6ED5" w:rsidRPr="00943588">
        <w:rPr>
          <w:rFonts w:cstheme="minorHAnsi"/>
          <w:lang w:val="en-GB"/>
        </w:rPr>
        <w:t>n FM</w:t>
      </w:r>
      <w:r w:rsidRPr="00943588">
        <w:rPr>
          <w:rFonts w:cstheme="minorHAnsi"/>
          <w:lang w:val="en-GB"/>
        </w:rPr>
        <w:t xml:space="preserve"> </w:t>
      </w:r>
      <w:r w:rsidR="00283604" w:rsidRPr="00943588">
        <w:rPr>
          <w:rFonts w:cstheme="minorHAnsi"/>
          <w:lang w:val="en-GB"/>
        </w:rPr>
        <w:t xml:space="preserve">which </w:t>
      </w:r>
      <w:r w:rsidR="00BC6ED5" w:rsidRPr="00943588">
        <w:rPr>
          <w:rFonts w:cstheme="minorHAnsi"/>
          <w:lang w:val="en-GB"/>
        </w:rPr>
        <w:t>defines</w:t>
      </w:r>
      <w:r w:rsidR="00E31C26" w:rsidRPr="00943588">
        <w:rPr>
          <w:rFonts w:cstheme="minorHAnsi"/>
          <w:lang w:val="en-GB"/>
        </w:rPr>
        <w:t xml:space="preserve"> situations where </w:t>
      </w:r>
      <w:r w:rsidR="00C9455F" w:rsidRPr="00943588">
        <w:rPr>
          <w:rFonts w:cstheme="minorHAnsi"/>
          <w:lang w:val="en-GB"/>
        </w:rPr>
        <w:t xml:space="preserve">performance of the contractual obligations is excused where the events giving rise to the failure to </w:t>
      </w:r>
      <w:r w:rsidR="00AF6091" w:rsidRPr="00943588">
        <w:rPr>
          <w:rFonts w:cstheme="minorHAnsi"/>
          <w:lang w:val="en-GB"/>
        </w:rPr>
        <w:t>perform</w:t>
      </w:r>
      <w:r w:rsidR="00C9455F" w:rsidRPr="00943588">
        <w:rPr>
          <w:rFonts w:cstheme="minorHAnsi"/>
          <w:lang w:val="en-GB"/>
        </w:rPr>
        <w:t xml:space="preserve"> are outside of the </w:t>
      </w:r>
      <w:r w:rsidR="00E31C26" w:rsidRPr="00943588">
        <w:rPr>
          <w:rFonts w:cstheme="minorHAnsi"/>
          <w:lang w:val="en-GB"/>
        </w:rPr>
        <w:t>control of the parties.</w:t>
      </w:r>
      <w:r w:rsidR="00E31C26" w:rsidRPr="00943588">
        <w:rPr>
          <w:rStyle w:val="FootnoteReference"/>
          <w:rFonts w:cstheme="minorHAnsi"/>
          <w:lang w:val="en-GB"/>
        </w:rPr>
        <w:footnoteReference w:id="2"/>
      </w:r>
      <w:r w:rsidR="00D3326A" w:rsidRPr="00943588">
        <w:rPr>
          <w:rFonts w:cstheme="minorHAnsi"/>
          <w:lang w:val="en-GB"/>
        </w:rPr>
        <w:t xml:space="preserve"> </w:t>
      </w:r>
    </w:p>
    <w:p w14:paraId="3A726FD6" w14:textId="2DEE815F" w:rsidR="00760B46" w:rsidRPr="00943588" w:rsidRDefault="0018349E" w:rsidP="00483960">
      <w:pPr>
        <w:jc w:val="both"/>
        <w:rPr>
          <w:rFonts w:cstheme="minorHAnsi"/>
          <w:lang w:val="en-GB"/>
        </w:rPr>
      </w:pPr>
      <w:r w:rsidRPr="00943588">
        <w:rPr>
          <w:rFonts w:cstheme="minorHAnsi"/>
          <w:lang w:val="en-GB"/>
        </w:rPr>
        <w:t xml:space="preserve">An FM can be framed in a number of different ways to cater for </w:t>
      </w:r>
      <w:r w:rsidR="00CB53C6" w:rsidRPr="00943588">
        <w:rPr>
          <w:rFonts w:cstheme="minorHAnsi"/>
          <w:lang w:val="en-GB"/>
        </w:rPr>
        <w:t xml:space="preserve">different </w:t>
      </w:r>
      <w:r w:rsidRPr="00943588">
        <w:rPr>
          <w:rFonts w:cstheme="minorHAnsi"/>
          <w:lang w:val="en-GB"/>
        </w:rPr>
        <w:t>situations</w:t>
      </w:r>
      <w:r w:rsidR="00CB53C6" w:rsidRPr="00943588">
        <w:rPr>
          <w:rFonts w:cstheme="minorHAnsi"/>
          <w:lang w:val="en-GB"/>
        </w:rPr>
        <w:t>. Some FM</w:t>
      </w:r>
      <w:r w:rsidR="00D42282" w:rsidRPr="00943588">
        <w:rPr>
          <w:rFonts w:cstheme="minorHAnsi"/>
          <w:lang w:val="en-GB"/>
        </w:rPr>
        <w:t xml:space="preserve">s </w:t>
      </w:r>
      <w:r w:rsidR="00CB53C6" w:rsidRPr="00943588">
        <w:rPr>
          <w:rFonts w:cstheme="minorHAnsi"/>
          <w:lang w:val="en-GB"/>
        </w:rPr>
        <w:t xml:space="preserve">may excuse </w:t>
      </w:r>
      <w:r w:rsidR="00760B46" w:rsidRPr="00943588">
        <w:rPr>
          <w:rFonts w:cstheme="minorHAnsi"/>
          <w:lang w:val="en-GB"/>
        </w:rPr>
        <w:t>performance</w:t>
      </w:r>
      <w:r w:rsidRPr="00943588">
        <w:rPr>
          <w:rFonts w:cstheme="minorHAnsi"/>
          <w:lang w:val="en-GB"/>
        </w:rPr>
        <w:t xml:space="preserve"> where a party was ‘prevented’ from performing</w:t>
      </w:r>
      <w:r w:rsidR="00CB53C6" w:rsidRPr="00943588">
        <w:rPr>
          <w:rFonts w:cstheme="minorHAnsi"/>
          <w:lang w:val="en-GB"/>
        </w:rPr>
        <w:t xml:space="preserve">, </w:t>
      </w:r>
      <w:r w:rsidR="00455DE0" w:rsidRPr="00943588">
        <w:rPr>
          <w:rFonts w:cstheme="minorHAnsi"/>
          <w:lang w:val="en-GB"/>
        </w:rPr>
        <w:t xml:space="preserve">others may </w:t>
      </w:r>
      <w:r w:rsidR="001D013B" w:rsidRPr="00943588">
        <w:rPr>
          <w:rFonts w:cstheme="minorHAnsi"/>
          <w:lang w:val="en-GB"/>
        </w:rPr>
        <w:t xml:space="preserve">excuse performance where a party was ‘hindered’ from performing, </w:t>
      </w:r>
      <w:r w:rsidR="00760B46" w:rsidRPr="00943588">
        <w:rPr>
          <w:rFonts w:cstheme="minorHAnsi"/>
          <w:lang w:val="en-GB"/>
        </w:rPr>
        <w:t>whereas</w:t>
      </w:r>
      <w:r w:rsidR="00CB53C6" w:rsidRPr="00943588">
        <w:rPr>
          <w:rFonts w:cstheme="minorHAnsi"/>
          <w:lang w:val="en-GB"/>
        </w:rPr>
        <w:t xml:space="preserve"> others may </w:t>
      </w:r>
      <w:r w:rsidR="00530E56" w:rsidRPr="00943588">
        <w:rPr>
          <w:rFonts w:cstheme="minorHAnsi"/>
          <w:lang w:val="en-GB"/>
        </w:rPr>
        <w:t xml:space="preserve">provide for an extension of time </w:t>
      </w:r>
      <w:r w:rsidR="007213F6" w:rsidRPr="00943588">
        <w:rPr>
          <w:rFonts w:cstheme="minorHAnsi"/>
          <w:lang w:val="en-GB"/>
        </w:rPr>
        <w:t xml:space="preserve">for performance </w:t>
      </w:r>
      <w:r w:rsidR="00530E56" w:rsidRPr="00943588">
        <w:rPr>
          <w:rFonts w:cstheme="minorHAnsi"/>
          <w:lang w:val="en-GB"/>
        </w:rPr>
        <w:t>where</w:t>
      </w:r>
      <w:r w:rsidR="00760B46" w:rsidRPr="00943588">
        <w:rPr>
          <w:rFonts w:cstheme="minorHAnsi"/>
          <w:lang w:val="en-GB"/>
        </w:rPr>
        <w:t xml:space="preserve"> </w:t>
      </w:r>
      <w:r w:rsidR="004D0962" w:rsidRPr="00943588">
        <w:rPr>
          <w:rFonts w:cstheme="minorHAnsi"/>
          <w:lang w:val="en-GB"/>
        </w:rPr>
        <w:t xml:space="preserve">it </w:t>
      </w:r>
      <w:r w:rsidRPr="00943588">
        <w:rPr>
          <w:rFonts w:cstheme="minorHAnsi"/>
          <w:lang w:val="en-GB"/>
        </w:rPr>
        <w:t xml:space="preserve">was </w:t>
      </w:r>
      <w:r w:rsidR="00530E56" w:rsidRPr="00943588">
        <w:rPr>
          <w:rFonts w:cstheme="minorHAnsi"/>
          <w:lang w:val="en-GB"/>
        </w:rPr>
        <w:t>‘</w:t>
      </w:r>
      <w:r w:rsidRPr="00943588">
        <w:rPr>
          <w:rFonts w:cstheme="minorHAnsi"/>
          <w:lang w:val="en-GB"/>
        </w:rPr>
        <w:t>delayed</w:t>
      </w:r>
      <w:r w:rsidR="00530E56" w:rsidRPr="00943588">
        <w:rPr>
          <w:rFonts w:cstheme="minorHAnsi"/>
          <w:lang w:val="en-GB"/>
        </w:rPr>
        <w:t>’</w:t>
      </w:r>
      <w:r w:rsidRPr="00943588">
        <w:rPr>
          <w:rFonts w:cstheme="minorHAnsi"/>
          <w:lang w:val="en-GB"/>
        </w:rPr>
        <w:t xml:space="preserve">. </w:t>
      </w:r>
    </w:p>
    <w:p w14:paraId="02588AD7" w14:textId="31E5F72C" w:rsidR="000A764F" w:rsidRPr="00943588" w:rsidRDefault="00530E56" w:rsidP="00483960">
      <w:pPr>
        <w:jc w:val="both"/>
        <w:rPr>
          <w:rFonts w:cstheme="minorHAnsi"/>
          <w:lang w:val="en-GB"/>
        </w:rPr>
      </w:pPr>
      <w:r w:rsidRPr="00943588">
        <w:rPr>
          <w:rFonts w:cstheme="minorHAnsi"/>
          <w:lang w:val="en-GB"/>
        </w:rPr>
        <w:t>A detailed analysis of these three concepts is beyond the scope of this article; however, i</w:t>
      </w:r>
      <w:r w:rsidR="00760B46" w:rsidRPr="00943588">
        <w:rPr>
          <w:rFonts w:cstheme="minorHAnsi"/>
          <w:lang w:val="en-GB"/>
        </w:rPr>
        <w:t>t should be noted that where</w:t>
      </w:r>
      <w:r w:rsidR="00897C50" w:rsidRPr="00943588">
        <w:rPr>
          <w:rFonts w:cstheme="minorHAnsi"/>
          <w:lang w:val="en-GB"/>
        </w:rPr>
        <w:t xml:space="preserve"> performance must be </w:t>
      </w:r>
      <w:r w:rsidRPr="00943588">
        <w:rPr>
          <w:rFonts w:cstheme="minorHAnsi"/>
          <w:lang w:val="en-GB"/>
        </w:rPr>
        <w:t>‘</w:t>
      </w:r>
      <w:r w:rsidR="00897C50" w:rsidRPr="00943588">
        <w:rPr>
          <w:rFonts w:cstheme="minorHAnsi"/>
          <w:lang w:val="en-GB"/>
        </w:rPr>
        <w:t>prevented</w:t>
      </w:r>
      <w:r w:rsidRPr="00943588">
        <w:rPr>
          <w:rFonts w:cstheme="minorHAnsi"/>
          <w:lang w:val="en-GB"/>
        </w:rPr>
        <w:t>’</w:t>
      </w:r>
      <w:r w:rsidR="00760B46" w:rsidRPr="00943588">
        <w:rPr>
          <w:rFonts w:cstheme="minorHAnsi"/>
          <w:lang w:val="en-GB"/>
        </w:rPr>
        <w:t xml:space="preserve">, the mere fact that </w:t>
      </w:r>
      <w:r w:rsidR="00183E4F" w:rsidRPr="00943588">
        <w:rPr>
          <w:rFonts w:cstheme="minorHAnsi"/>
          <w:lang w:val="en-GB"/>
        </w:rPr>
        <w:t xml:space="preserve">performance </w:t>
      </w:r>
      <w:r w:rsidR="00A23027" w:rsidRPr="00943588">
        <w:rPr>
          <w:rFonts w:cstheme="minorHAnsi"/>
          <w:lang w:val="en-GB"/>
        </w:rPr>
        <w:t xml:space="preserve">has become </w:t>
      </w:r>
      <w:r w:rsidR="003669A4" w:rsidRPr="00943588">
        <w:rPr>
          <w:rFonts w:cstheme="minorHAnsi"/>
          <w:lang w:val="en-GB"/>
        </w:rPr>
        <w:t>unprofitable</w:t>
      </w:r>
      <w:r w:rsidR="00A23027" w:rsidRPr="00943588">
        <w:rPr>
          <w:rFonts w:cstheme="minorHAnsi"/>
          <w:lang w:val="en-GB"/>
        </w:rPr>
        <w:t xml:space="preserve"> or difficult will not excuse the party from rendering </w:t>
      </w:r>
      <w:r w:rsidR="004D0962" w:rsidRPr="00943588">
        <w:rPr>
          <w:rFonts w:cstheme="minorHAnsi"/>
          <w:lang w:val="en-GB"/>
        </w:rPr>
        <w:t>the same</w:t>
      </w:r>
      <w:r w:rsidR="00A23027" w:rsidRPr="00943588">
        <w:rPr>
          <w:rFonts w:cstheme="minorHAnsi"/>
          <w:lang w:val="en-GB"/>
        </w:rPr>
        <w:t>.</w:t>
      </w:r>
      <w:r w:rsidR="00A23027" w:rsidRPr="00943588">
        <w:rPr>
          <w:rStyle w:val="FootnoteReference"/>
          <w:rFonts w:cstheme="minorHAnsi"/>
          <w:lang w:val="en-GB"/>
        </w:rPr>
        <w:footnoteReference w:id="3"/>
      </w:r>
    </w:p>
    <w:p w14:paraId="0F97D5D3" w14:textId="11867F4F" w:rsidR="00B0338C" w:rsidRPr="00943588" w:rsidRDefault="00D00B1D" w:rsidP="00E1799A">
      <w:pPr>
        <w:jc w:val="both"/>
        <w:rPr>
          <w:rFonts w:cstheme="minorHAnsi"/>
          <w:lang w:val="en-GB"/>
        </w:rPr>
      </w:pPr>
      <w:r w:rsidRPr="00943588">
        <w:rPr>
          <w:rFonts w:cstheme="minorHAnsi"/>
          <w:lang w:val="en-GB"/>
        </w:rPr>
        <w:t xml:space="preserve">War, strikes, </w:t>
      </w:r>
      <w:r w:rsidR="00BC6ED5" w:rsidRPr="00943588">
        <w:rPr>
          <w:rFonts w:cstheme="minorHAnsi"/>
          <w:lang w:val="en-GB"/>
        </w:rPr>
        <w:t xml:space="preserve">exceptional adverse </w:t>
      </w:r>
      <w:r w:rsidRPr="00943588">
        <w:rPr>
          <w:rFonts w:cstheme="minorHAnsi"/>
          <w:lang w:val="en-GB"/>
        </w:rPr>
        <w:t>weather</w:t>
      </w:r>
      <w:r w:rsidR="00627649" w:rsidRPr="00943588">
        <w:rPr>
          <w:rFonts w:cstheme="minorHAnsi"/>
          <w:lang w:val="en-GB"/>
        </w:rPr>
        <w:t>, pandemics</w:t>
      </w:r>
      <w:r w:rsidRPr="00943588">
        <w:rPr>
          <w:rFonts w:cstheme="minorHAnsi"/>
          <w:lang w:val="en-GB"/>
        </w:rPr>
        <w:t xml:space="preserve"> and government action are all </w:t>
      </w:r>
      <w:r w:rsidR="005D4D6D" w:rsidRPr="00943588">
        <w:rPr>
          <w:rFonts w:cstheme="minorHAnsi"/>
          <w:lang w:val="en-GB"/>
        </w:rPr>
        <w:t xml:space="preserve">possible </w:t>
      </w:r>
      <w:r w:rsidRPr="00943588">
        <w:rPr>
          <w:rFonts w:cstheme="minorHAnsi"/>
          <w:lang w:val="en-GB"/>
        </w:rPr>
        <w:t>f</w:t>
      </w:r>
      <w:r w:rsidR="00E52EF3" w:rsidRPr="00943588">
        <w:rPr>
          <w:rFonts w:cstheme="minorHAnsi"/>
          <w:lang w:val="en-GB"/>
        </w:rPr>
        <w:t xml:space="preserve">orce majeure </w:t>
      </w:r>
      <w:r w:rsidRPr="00943588">
        <w:rPr>
          <w:rFonts w:cstheme="minorHAnsi"/>
          <w:lang w:val="en-GB"/>
        </w:rPr>
        <w:t>events</w:t>
      </w:r>
      <w:r w:rsidR="00E877E7" w:rsidRPr="00943588">
        <w:rPr>
          <w:rFonts w:cstheme="minorHAnsi"/>
          <w:lang w:val="en-GB"/>
        </w:rPr>
        <w:t>.</w:t>
      </w:r>
      <w:r w:rsidR="00E81AA7" w:rsidRPr="00943588">
        <w:rPr>
          <w:rFonts w:cstheme="minorHAnsi"/>
          <w:lang w:val="en-GB"/>
        </w:rPr>
        <w:t xml:space="preserve"> </w:t>
      </w:r>
      <w:r w:rsidR="00881BE7" w:rsidRPr="00943588">
        <w:rPr>
          <w:rFonts w:cstheme="minorHAnsi"/>
          <w:lang w:val="en-GB"/>
        </w:rPr>
        <w:t>However</w:t>
      </w:r>
      <w:r w:rsidR="00E81AA7" w:rsidRPr="00943588">
        <w:rPr>
          <w:rFonts w:cstheme="minorHAnsi"/>
          <w:lang w:val="en-GB"/>
        </w:rPr>
        <w:t xml:space="preserve"> </w:t>
      </w:r>
      <w:r w:rsidR="00BC6ED5" w:rsidRPr="00943588">
        <w:rPr>
          <w:rFonts w:cstheme="minorHAnsi"/>
          <w:lang w:val="en-GB"/>
        </w:rPr>
        <w:t xml:space="preserve">an FM </w:t>
      </w:r>
      <w:r w:rsidR="00E81AA7" w:rsidRPr="00943588">
        <w:rPr>
          <w:rFonts w:cstheme="minorHAnsi"/>
          <w:lang w:val="en-GB"/>
        </w:rPr>
        <w:t xml:space="preserve">may also employ more </w:t>
      </w:r>
      <w:r w:rsidR="00881BE7" w:rsidRPr="00943588">
        <w:rPr>
          <w:rFonts w:cstheme="minorHAnsi"/>
          <w:lang w:val="en-GB"/>
        </w:rPr>
        <w:t>general</w:t>
      </w:r>
      <w:r w:rsidR="00E81AA7" w:rsidRPr="00943588">
        <w:rPr>
          <w:rFonts w:cstheme="minorHAnsi"/>
          <w:lang w:val="en-GB"/>
        </w:rPr>
        <w:t xml:space="preserve"> wording</w:t>
      </w:r>
      <w:r w:rsidR="00BC6ED5" w:rsidRPr="00943588">
        <w:rPr>
          <w:rFonts w:cstheme="minorHAnsi"/>
          <w:lang w:val="en-GB"/>
        </w:rPr>
        <w:t>;</w:t>
      </w:r>
      <w:r w:rsidR="00E81AA7" w:rsidRPr="00943588">
        <w:rPr>
          <w:rFonts w:cstheme="minorHAnsi"/>
          <w:lang w:val="en-GB"/>
        </w:rPr>
        <w:t xml:space="preserve"> </w:t>
      </w:r>
      <w:r w:rsidR="00703D71" w:rsidRPr="00943588">
        <w:rPr>
          <w:rFonts w:cstheme="minorHAnsi"/>
          <w:lang w:val="en-GB"/>
        </w:rPr>
        <w:t>for instance referring to acts or events beyond the reasonable control of either party.</w:t>
      </w:r>
      <w:r w:rsidR="00B0338C" w:rsidRPr="00943588">
        <w:rPr>
          <w:rFonts w:cstheme="minorHAnsi"/>
          <w:lang w:val="en-GB"/>
        </w:rPr>
        <w:t xml:space="preserve"> </w:t>
      </w:r>
    </w:p>
    <w:p w14:paraId="6C8C54CA" w14:textId="1CABDE8E" w:rsidR="003507A3" w:rsidRPr="00943588" w:rsidRDefault="0005613F" w:rsidP="00483960">
      <w:pPr>
        <w:jc w:val="both"/>
        <w:rPr>
          <w:rFonts w:cstheme="minorHAnsi"/>
          <w:lang w:val="en-GB"/>
        </w:rPr>
      </w:pPr>
      <w:r w:rsidRPr="00943588">
        <w:rPr>
          <w:rFonts w:cstheme="minorHAnsi"/>
          <w:lang w:val="en-GB"/>
        </w:rPr>
        <w:lastRenderedPageBreak/>
        <w:t xml:space="preserve">A </w:t>
      </w:r>
      <w:r w:rsidR="00185FCF" w:rsidRPr="00943588">
        <w:rPr>
          <w:rFonts w:cstheme="minorHAnsi"/>
          <w:lang w:val="en-GB"/>
        </w:rPr>
        <w:t>detailed analysis of the</w:t>
      </w:r>
      <w:r w:rsidR="003A6571" w:rsidRPr="00943588">
        <w:rPr>
          <w:rFonts w:cstheme="minorHAnsi"/>
          <w:lang w:val="en-GB"/>
        </w:rPr>
        <w:t xml:space="preserve"> FM</w:t>
      </w:r>
      <w:r w:rsidR="00185FCF" w:rsidRPr="00943588">
        <w:rPr>
          <w:rFonts w:cstheme="minorHAnsi"/>
          <w:lang w:val="en-GB"/>
        </w:rPr>
        <w:t>, app</w:t>
      </w:r>
      <w:r w:rsidR="005D4D6D" w:rsidRPr="00943588">
        <w:rPr>
          <w:rFonts w:cstheme="minorHAnsi"/>
          <w:lang w:val="en-GB"/>
        </w:rPr>
        <w:t>lying normal rules</w:t>
      </w:r>
      <w:r w:rsidR="00185FCF" w:rsidRPr="00943588">
        <w:rPr>
          <w:rFonts w:cstheme="minorHAnsi"/>
          <w:lang w:val="en-GB"/>
        </w:rPr>
        <w:t xml:space="preserve"> of contractual interpretation</w:t>
      </w:r>
      <w:r w:rsidR="00F76418" w:rsidRPr="00943588">
        <w:rPr>
          <w:rFonts w:cstheme="minorHAnsi"/>
          <w:lang w:val="en-GB"/>
        </w:rPr>
        <w:t>, will therefore be necessary to determine where the risk falls.</w:t>
      </w:r>
      <w:r w:rsidR="00F664D5" w:rsidRPr="00943588">
        <w:rPr>
          <w:rStyle w:val="FootnoteReference"/>
          <w:rFonts w:cstheme="minorHAnsi"/>
          <w:lang w:val="en-GB"/>
        </w:rPr>
        <w:footnoteReference w:id="4"/>
      </w:r>
    </w:p>
    <w:p w14:paraId="7D85E96B" w14:textId="6DF37393" w:rsidR="003E1310" w:rsidRPr="00943588" w:rsidRDefault="003E1310" w:rsidP="00483960">
      <w:pPr>
        <w:jc w:val="both"/>
        <w:rPr>
          <w:rFonts w:cstheme="minorHAnsi"/>
          <w:lang w:val="en-GB"/>
        </w:rPr>
      </w:pPr>
      <w:r w:rsidRPr="00943588">
        <w:rPr>
          <w:rFonts w:cstheme="minorHAnsi"/>
          <w:lang w:val="en-GB"/>
        </w:rPr>
        <w:t xml:space="preserve">A party </w:t>
      </w:r>
      <w:r w:rsidR="005D4D6D" w:rsidRPr="00943588">
        <w:rPr>
          <w:rFonts w:cstheme="minorHAnsi"/>
          <w:lang w:val="en-GB"/>
        </w:rPr>
        <w:t>invoking a</w:t>
      </w:r>
      <w:r w:rsidR="00BC6ED5" w:rsidRPr="00943588">
        <w:rPr>
          <w:rFonts w:cstheme="minorHAnsi"/>
          <w:lang w:val="en-GB"/>
        </w:rPr>
        <w:t xml:space="preserve">n FM </w:t>
      </w:r>
      <w:r w:rsidR="005D4D6D" w:rsidRPr="00943588">
        <w:rPr>
          <w:rFonts w:cstheme="minorHAnsi"/>
          <w:lang w:val="en-GB"/>
        </w:rPr>
        <w:t xml:space="preserve">shall need </w:t>
      </w:r>
      <w:r w:rsidRPr="00943588">
        <w:rPr>
          <w:rFonts w:cstheme="minorHAnsi"/>
          <w:lang w:val="en-GB"/>
        </w:rPr>
        <w:t>to establish the following:</w:t>
      </w:r>
    </w:p>
    <w:p w14:paraId="2978E8D1" w14:textId="092A785E" w:rsidR="003E1310" w:rsidRPr="00943588" w:rsidRDefault="00F9389C" w:rsidP="003E1310">
      <w:pPr>
        <w:pStyle w:val="ListParagraph"/>
        <w:numPr>
          <w:ilvl w:val="0"/>
          <w:numId w:val="1"/>
        </w:numPr>
        <w:jc w:val="both"/>
        <w:rPr>
          <w:rFonts w:cstheme="minorHAnsi"/>
          <w:lang w:val="en-GB"/>
        </w:rPr>
      </w:pPr>
      <w:r w:rsidRPr="00943588">
        <w:rPr>
          <w:rFonts w:cstheme="minorHAnsi"/>
          <w:lang w:val="en-GB"/>
        </w:rPr>
        <w:t xml:space="preserve">that </w:t>
      </w:r>
      <w:r w:rsidR="00023E5E" w:rsidRPr="00943588">
        <w:rPr>
          <w:rFonts w:cstheme="minorHAnsi"/>
          <w:lang w:val="en-GB"/>
        </w:rPr>
        <w:t xml:space="preserve">the </w:t>
      </w:r>
      <w:r w:rsidR="00361531" w:rsidRPr="00943588">
        <w:rPr>
          <w:rFonts w:cstheme="minorHAnsi"/>
          <w:lang w:val="en-GB"/>
        </w:rPr>
        <w:t>event</w:t>
      </w:r>
      <w:r w:rsidR="00023E5E" w:rsidRPr="00943588">
        <w:rPr>
          <w:rFonts w:cstheme="minorHAnsi"/>
          <w:lang w:val="en-GB"/>
        </w:rPr>
        <w:t xml:space="preserve"> </w:t>
      </w:r>
      <w:r w:rsidR="00CC36E4" w:rsidRPr="00943588">
        <w:rPr>
          <w:rFonts w:cstheme="minorHAnsi"/>
          <w:lang w:val="en-GB"/>
        </w:rPr>
        <w:t xml:space="preserve">falls within </w:t>
      </w:r>
      <w:r w:rsidR="00D20BCC" w:rsidRPr="00943588">
        <w:rPr>
          <w:rFonts w:cstheme="minorHAnsi"/>
          <w:lang w:val="en-GB"/>
        </w:rPr>
        <w:t xml:space="preserve">the scope </w:t>
      </w:r>
      <w:r w:rsidR="00B85475" w:rsidRPr="00943588">
        <w:rPr>
          <w:rFonts w:cstheme="minorHAnsi"/>
          <w:lang w:val="en-GB"/>
        </w:rPr>
        <w:t xml:space="preserve">of the </w:t>
      </w:r>
      <w:r w:rsidR="00D20BCC" w:rsidRPr="00943588">
        <w:rPr>
          <w:rFonts w:cstheme="minorHAnsi"/>
          <w:lang w:val="en-GB"/>
        </w:rPr>
        <w:t>clause</w:t>
      </w:r>
      <w:r w:rsidR="00B85475" w:rsidRPr="00943588">
        <w:rPr>
          <w:rFonts w:cstheme="minorHAnsi"/>
          <w:lang w:val="en-GB"/>
        </w:rPr>
        <w:t>, as construed</w:t>
      </w:r>
      <w:r w:rsidR="00023E5E" w:rsidRPr="00943588">
        <w:rPr>
          <w:rFonts w:cstheme="minorHAnsi"/>
          <w:lang w:val="en-GB"/>
        </w:rPr>
        <w:t>;</w:t>
      </w:r>
      <w:r w:rsidR="00E54FFA" w:rsidRPr="00943588">
        <w:rPr>
          <w:rStyle w:val="FootnoteReference"/>
          <w:rFonts w:cstheme="minorHAnsi"/>
          <w:lang w:val="en-GB"/>
        </w:rPr>
        <w:footnoteReference w:id="5"/>
      </w:r>
    </w:p>
    <w:p w14:paraId="57C59E16" w14:textId="52D65D09" w:rsidR="00023E5E" w:rsidRPr="00943588" w:rsidRDefault="00023E5E" w:rsidP="003E1310">
      <w:pPr>
        <w:pStyle w:val="ListParagraph"/>
        <w:numPr>
          <w:ilvl w:val="0"/>
          <w:numId w:val="1"/>
        </w:numPr>
        <w:jc w:val="both"/>
        <w:rPr>
          <w:rFonts w:cstheme="minorHAnsi"/>
          <w:lang w:val="en-GB"/>
        </w:rPr>
      </w:pPr>
      <w:r w:rsidRPr="00943588">
        <w:rPr>
          <w:rFonts w:cstheme="minorHAnsi"/>
          <w:lang w:val="en-GB"/>
        </w:rPr>
        <w:t xml:space="preserve">that </w:t>
      </w:r>
      <w:r w:rsidR="00F9389C" w:rsidRPr="00943588">
        <w:rPr>
          <w:rFonts w:cstheme="minorHAnsi"/>
          <w:lang w:val="en-GB"/>
        </w:rPr>
        <w:t xml:space="preserve">their non-performance was </w:t>
      </w:r>
      <w:r w:rsidR="00361531" w:rsidRPr="00943588">
        <w:rPr>
          <w:rFonts w:cstheme="minorHAnsi"/>
          <w:lang w:val="en-GB"/>
        </w:rPr>
        <w:t>by reason of that event;</w:t>
      </w:r>
      <w:r w:rsidR="001338A2" w:rsidRPr="00943588">
        <w:rPr>
          <w:rStyle w:val="FootnoteReference"/>
          <w:rFonts w:cstheme="minorHAnsi"/>
          <w:lang w:val="en-GB"/>
        </w:rPr>
        <w:footnoteReference w:id="6"/>
      </w:r>
    </w:p>
    <w:p w14:paraId="01F2A2D7" w14:textId="609F37D7" w:rsidR="00665A67" w:rsidRPr="00943588" w:rsidRDefault="00665A67" w:rsidP="003E1310">
      <w:pPr>
        <w:pStyle w:val="ListParagraph"/>
        <w:numPr>
          <w:ilvl w:val="0"/>
          <w:numId w:val="1"/>
        </w:numPr>
        <w:jc w:val="both"/>
        <w:rPr>
          <w:rFonts w:cstheme="minorHAnsi"/>
          <w:lang w:val="en-GB"/>
        </w:rPr>
      </w:pPr>
      <w:r w:rsidRPr="00943588">
        <w:rPr>
          <w:rFonts w:cstheme="minorHAnsi"/>
          <w:lang w:val="en-GB"/>
        </w:rPr>
        <w:t xml:space="preserve">that </w:t>
      </w:r>
      <w:r w:rsidR="00F9389C" w:rsidRPr="00943588">
        <w:rPr>
          <w:rFonts w:cstheme="minorHAnsi"/>
          <w:lang w:val="en-GB"/>
        </w:rPr>
        <w:t xml:space="preserve">their </w:t>
      </w:r>
      <w:r w:rsidR="00DB37EB" w:rsidRPr="00943588">
        <w:rPr>
          <w:rFonts w:cstheme="minorHAnsi"/>
          <w:lang w:val="en-GB"/>
        </w:rPr>
        <w:t xml:space="preserve">non-performance was due to circumstances beyond </w:t>
      </w:r>
      <w:r w:rsidR="00F9389C" w:rsidRPr="00943588">
        <w:rPr>
          <w:rFonts w:cstheme="minorHAnsi"/>
          <w:lang w:val="en-GB"/>
        </w:rPr>
        <w:t>their</w:t>
      </w:r>
      <w:r w:rsidR="00DB37EB" w:rsidRPr="00943588">
        <w:rPr>
          <w:rFonts w:cstheme="minorHAnsi"/>
          <w:lang w:val="en-GB"/>
        </w:rPr>
        <w:t xml:space="preserve"> control;</w:t>
      </w:r>
      <w:r w:rsidR="00FB6517" w:rsidRPr="00943588">
        <w:rPr>
          <w:rStyle w:val="FootnoteReference"/>
          <w:rFonts w:cstheme="minorHAnsi"/>
          <w:lang w:val="en-GB"/>
        </w:rPr>
        <w:footnoteReference w:id="7"/>
      </w:r>
      <w:r w:rsidR="00DB37EB" w:rsidRPr="00943588">
        <w:rPr>
          <w:rFonts w:cstheme="minorHAnsi"/>
          <w:lang w:val="en-GB"/>
        </w:rPr>
        <w:t xml:space="preserve"> and </w:t>
      </w:r>
    </w:p>
    <w:p w14:paraId="0795E50F" w14:textId="5F4F8636" w:rsidR="00DB37EB" w:rsidRPr="00943588" w:rsidRDefault="00DB37EB" w:rsidP="003E1310">
      <w:pPr>
        <w:pStyle w:val="ListParagraph"/>
        <w:numPr>
          <w:ilvl w:val="0"/>
          <w:numId w:val="1"/>
        </w:numPr>
        <w:jc w:val="both"/>
        <w:rPr>
          <w:rFonts w:cstheme="minorHAnsi"/>
          <w:lang w:val="en-GB"/>
        </w:rPr>
      </w:pPr>
      <w:r w:rsidRPr="00943588">
        <w:rPr>
          <w:rFonts w:cstheme="minorHAnsi"/>
          <w:lang w:val="en-GB"/>
        </w:rPr>
        <w:t xml:space="preserve">that there were no reasonable steps that </w:t>
      </w:r>
      <w:r w:rsidR="00F9389C" w:rsidRPr="00943588">
        <w:rPr>
          <w:rFonts w:cstheme="minorHAnsi"/>
          <w:lang w:val="en-GB"/>
        </w:rPr>
        <w:t xml:space="preserve">they </w:t>
      </w:r>
      <w:r w:rsidRPr="00943588">
        <w:rPr>
          <w:rFonts w:cstheme="minorHAnsi"/>
          <w:lang w:val="en-GB"/>
        </w:rPr>
        <w:t>could have taken to avoid or mitigate the event or its consequences.</w:t>
      </w:r>
      <w:r w:rsidRPr="00943588">
        <w:rPr>
          <w:rStyle w:val="FootnoteReference"/>
          <w:rFonts w:cstheme="minorHAnsi"/>
          <w:lang w:val="en-GB"/>
        </w:rPr>
        <w:footnoteReference w:id="8"/>
      </w:r>
    </w:p>
    <w:p w14:paraId="1EFE24BC" w14:textId="77B0EA61" w:rsidR="004D0962" w:rsidRPr="00943588" w:rsidRDefault="004D0962" w:rsidP="00943588">
      <w:pPr>
        <w:jc w:val="both"/>
        <w:rPr>
          <w:rFonts w:cstheme="minorHAnsi"/>
          <w:lang w:val="en-GB"/>
        </w:rPr>
      </w:pPr>
      <w:r w:rsidRPr="00943588">
        <w:rPr>
          <w:rFonts w:cstheme="minorHAnsi"/>
          <w:lang w:val="en-GB"/>
        </w:rPr>
        <w:t>Typically such clauses excuse future performance but do not discharge the contract in toto. Therefore payments already made are not likely to be the subject of recovery.</w:t>
      </w:r>
    </w:p>
    <w:p w14:paraId="3F49E652" w14:textId="4344065F" w:rsidR="005D4D6D" w:rsidRPr="00943588" w:rsidRDefault="005D4D6D" w:rsidP="00716CB0">
      <w:pPr>
        <w:jc w:val="both"/>
        <w:rPr>
          <w:rFonts w:cstheme="minorHAnsi"/>
          <w:u w:val="single"/>
          <w:lang w:val="en-GB"/>
        </w:rPr>
      </w:pPr>
      <w:r w:rsidRPr="00943588">
        <w:rPr>
          <w:rFonts w:cstheme="minorHAnsi"/>
          <w:u w:val="single"/>
          <w:lang w:val="en-GB"/>
        </w:rPr>
        <w:t>(2)</w:t>
      </w:r>
      <w:r w:rsidRPr="00943588">
        <w:rPr>
          <w:rFonts w:cstheme="minorHAnsi"/>
          <w:u w:val="single"/>
          <w:lang w:val="en-GB"/>
        </w:rPr>
        <w:tab/>
        <w:t>MAC</w:t>
      </w:r>
    </w:p>
    <w:p w14:paraId="7C2EEF3D" w14:textId="703DF99F" w:rsidR="005D4D6D" w:rsidRPr="00943588" w:rsidRDefault="005D4D6D" w:rsidP="00716CB0">
      <w:pPr>
        <w:jc w:val="both"/>
        <w:rPr>
          <w:rFonts w:cstheme="minorHAnsi"/>
          <w:lang w:val="en-GB"/>
        </w:rPr>
      </w:pPr>
      <w:r w:rsidRPr="00943588">
        <w:rPr>
          <w:rFonts w:cstheme="minorHAnsi"/>
          <w:lang w:val="en-GB"/>
        </w:rPr>
        <w:t>MAC</w:t>
      </w:r>
      <w:r w:rsidR="00EB4E4B" w:rsidRPr="00943588">
        <w:rPr>
          <w:rFonts w:cstheme="minorHAnsi"/>
          <w:lang w:val="en-GB"/>
        </w:rPr>
        <w:t xml:space="preserve">s </w:t>
      </w:r>
      <w:r w:rsidRPr="00943588">
        <w:rPr>
          <w:rFonts w:cstheme="minorHAnsi"/>
          <w:lang w:val="en-GB"/>
        </w:rPr>
        <w:t>are typically found in M&amp;A and finance documents. Typically, they permit a purchaser not to complete an acquisition in the event of a material adverse change, or they permit a lender to decline to advance any further lending or call an event of default. MAC</w:t>
      </w:r>
      <w:r w:rsidR="00EB4E4B" w:rsidRPr="00943588">
        <w:rPr>
          <w:rFonts w:cstheme="minorHAnsi"/>
          <w:lang w:val="en-GB"/>
        </w:rPr>
        <w:t xml:space="preserve">s </w:t>
      </w:r>
      <w:r w:rsidRPr="00943588">
        <w:rPr>
          <w:rFonts w:cstheme="minorHAnsi"/>
          <w:lang w:val="en-GB"/>
        </w:rPr>
        <w:t>are infinitely varied and the circumstances in which they will be triggered are a matter of construction and careful evaluation of the change in question.</w:t>
      </w:r>
    </w:p>
    <w:p w14:paraId="177C28A3" w14:textId="7A815572" w:rsidR="00E01F96" w:rsidRPr="00943588" w:rsidRDefault="009C01D3" w:rsidP="00716CB0">
      <w:pPr>
        <w:jc w:val="both"/>
        <w:rPr>
          <w:rFonts w:cstheme="minorHAnsi"/>
          <w:lang w:val="en-GB"/>
        </w:rPr>
      </w:pPr>
      <w:r w:rsidRPr="00943588">
        <w:rPr>
          <w:rFonts w:cstheme="minorHAnsi"/>
          <w:lang w:val="en-GB"/>
        </w:rPr>
        <w:t xml:space="preserve">As </w:t>
      </w:r>
      <w:r w:rsidR="000D0192" w:rsidRPr="00943588">
        <w:rPr>
          <w:rFonts w:cstheme="minorHAnsi"/>
          <w:lang w:val="en-GB"/>
        </w:rPr>
        <w:t xml:space="preserve">a </w:t>
      </w:r>
      <w:r w:rsidRPr="00943588">
        <w:rPr>
          <w:rFonts w:cstheme="minorHAnsi"/>
          <w:lang w:val="en-GB"/>
        </w:rPr>
        <w:t>MAC</w:t>
      </w:r>
      <w:r w:rsidR="000D0192" w:rsidRPr="00943588">
        <w:rPr>
          <w:rFonts w:cstheme="minorHAnsi"/>
          <w:lang w:val="en-GB"/>
        </w:rPr>
        <w:t xml:space="preserve"> is a</w:t>
      </w:r>
      <w:r w:rsidRPr="00943588">
        <w:rPr>
          <w:rFonts w:cstheme="minorHAnsi"/>
          <w:lang w:val="en-GB"/>
        </w:rPr>
        <w:t xml:space="preserve"> contractual </w:t>
      </w:r>
      <w:r w:rsidR="009B1025" w:rsidRPr="00943588">
        <w:rPr>
          <w:rFonts w:cstheme="minorHAnsi"/>
          <w:lang w:val="en-GB"/>
        </w:rPr>
        <w:t>clause,</w:t>
      </w:r>
      <w:r w:rsidRPr="00943588">
        <w:rPr>
          <w:rFonts w:cstheme="minorHAnsi"/>
          <w:lang w:val="en-GB"/>
        </w:rPr>
        <w:t xml:space="preserve"> </w:t>
      </w:r>
      <w:r w:rsidR="009B1025" w:rsidRPr="00943588">
        <w:rPr>
          <w:rFonts w:cstheme="minorHAnsi"/>
          <w:lang w:val="en-GB"/>
        </w:rPr>
        <w:t>it</w:t>
      </w:r>
      <w:r w:rsidRPr="00943588">
        <w:rPr>
          <w:rFonts w:cstheme="minorHAnsi"/>
          <w:lang w:val="en-GB"/>
        </w:rPr>
        <w:t xml:space="preserve"> will be subject to the normal rules on construction. Therefore, w</w:t>
      </w:r>
      <w:r w:rsidR="00B32DE4" w:rsidRPr="00943588">
        <w:rPr>
          <w:rFonts w:cstheme="minorHAnsi"/>
          <w:lang w:val="en-GB"/>
        </w:rPr>
        <w:t xml:space="preserve">hether something amounts to a material adverse change will </w:t>
      </w:r>
      <w:r w:rsidR="00F251BD" w:rsidRPr="00943588">
        <w:rPr>
          <w:rFonts w:cstheme="minorHAnsi"/>
          <w:lang w:val="en-GB"/>
        </w:rPr>
        <w:t xml:space="preserve">ordinarily </w:t>
      </w:r>
      <w:r w:rsidR="00B32DE4" w:rsidRPr="00943588">
        <w:rPr>
          <w:rFonts w:cstheme="minorHAnsi"/>
          <w:lang w:val="en-GB"/>
        </w:rPr>
        <w:t xml:space="preserve">be assessed on </w:t>
      </w:r>
      <w:r w:rsidR="00E21351" w:rsidRPr="00943588">
        <w:rPr>
          <w:rFonts w:cstheme="minorHAnsi"/>
          <w:lang w:val="en-GB"/>
        </w:rPr>
        <w:t>an objective basis</w:t>
      </w:r>
      <w:r w:rsidR="00721366" w:rsidRPr="00943588">
        <w:rPr>
          <w:rFonts w:cstheme="minorHAnsi"/>
          <w:lang w:val="en-GB"/>
        </w:rPr>
        <w:t xml:space="preserve"> by the courts</w:t>
      </w:r>
      <w:r w:rsidR="00E21351" w:rsidRPr="00943588">
        <w:rPr>
          <w:rFonts w:cstheme="minorHAnsi"/>
          <w:lang w:val="en-GB"/>
        </w:rPr>
        <w:t xml:space="preserve">, </w:t>
      </w:r>
      <w:r w:rsidR="00F251BD" w:rsidRPr="00943588">
        <w:rPr>
          <w:rFonts w:cstheme="minorHAnsi"/>
          <w:lang w:val="en-GB"/>
        </w:rPr>
        <w:t>however</w:t>
      </w:r>
      <w:r w:rsidR="00E21351" w:rsidRPr="00943588">
        <w:rPr>
          <w:rFonts w:cstheme="minorHAnsi"/>
          <w:lang w:val="en-GB"/>
        </w:rPr>
        <w:t xml:space="preserve"> the agreement </w:t>
      </w:r>
      <w:r w:rsidR="00E01F96" w:rsidRPr="00943588">
        <w:rPr>
          <w:rFonts w:cstheme="minorHAnsi"/>
          <w:lang w:val="en-GB"/>
        </w:rPr>
        <w:t>can provide that th</w:t>
      </w:r>
      <w:r w:rsidR="000D0192" w:rsidRPr="00943588">
        <w:rPr>
          <w:rFonts w:cstheme="minorHAnsi"/>
          <w:lang w:val="en-GB"/>
        </w:rPr>
        <w:t>is</w:t>
      </w:r>
      <w:r w:rsidR="00E01F96" w:rsidRPr="00943588">
        <w:rPr>
          <w:rFonts w:cstheme="minorHAnsi"/>
          <w:lang w:val="en-GB"/>
        </w:rPr>
        <w:t xml:space="preserve"> requirement can be met where a specific party subjectively believe</w:t>
      </w:r>
      <w:r w:rsidR="008C657F" w:rsidRPr="00943588">
        <w:rPr>
          <w:rFonts w:cstheme="minorHAnsi"/>
          <w:lang w:val="en-GB"/>
        </w:rPr>
        <w:t>s</w:t>
      </w:r>
      <w:r w:rsidR="00E01F96" w:rsidRPr="00943588">
        <w:rPr>
          <w:rFonts w:cstheme="minorHAnsi"/>
          <w:lang w:val="en-GB"/>
        </w:rPr>
        <w:t xml:space="preserve"> that the event had a material adverse effect.</w:t>
      </w:r>
      <w:r w:rsidR="008C657F" w:rsidRPr="00943588">
        <w:rPr>
          <w:rStyle w:val="FootnoteReference"/>
          <w:rFonts w:cstheme="minorHAnsi"/>
          <w:lang w:val="en-GB"/>
        </w:rPr>
        <w:footnoteReference w:id="9"/>
      </w:r>
    </w:p>
    <w:p w14:paraId="183A7FA5" w14:textId="2FE968B0" w:rsidR="00CE2F62" w:rsidRPr="00943588" w:rsidRDefault="005A00D0" w:rsidP="00716CB0">
      <w:pPr>
        <w:jc w:val="both"/>
        <w:rPr>
          <w:rFonts w:cstheme="minorHAnsi"/>
          <w:lang w:val="en-GB"/>
        </w:rPr>
      </w:pPr>
      <w:r w:rsidRPr="00943588">
        <w:rPr>
          <w:rFonts w:cstheme="minorHAnsi"/>
          <w:lang w:val="en-GB"/>
        </w:rPr>
        <w:t xml:space="preserve">Useful guidance on how </w:t>
      </w:r>
      <w:r w:rsidR="000D0192" w:rsidRPr="00943588">
        <w:rPr>
          <w:rFonts w:cstheme="minorHAnsi"/>
          <w:lang w:val="en-GB"/>
        </w:rPr>
        <w:t xml:space="preserve">a </w:t>
      </w:r>
      <w:r w:rsidRPr="00943588">
        <w:rPr>
          <w:rFonts w:cstheme="minorHAnsi"/>
          <w:lang w:val="en-GB"/>
        </w:rPr>
        <w:t xml:space="preserve">MAC </w:t>
      </w:r>
      <w:r w:rsidR="00392BF4" w:rsidRPr="00943588">
        <w:rPr>
          <w:rFonts w:cstheme="minorHAnsi"/>
          <w:lang w:val="en-GB"/>
        </w:rPr>
        <w:t xml:space="preserve">could </w:t>
      </w:r>
      <w:r w:rsidRPr="00943588">
        <w:rPr>
          <w:rFonts w:cstheme="minorHAnsi"/>
          <w:lang w:val="en-GB"/>
        </w:rPr>
        <w:t xml:space="preserve">be interpreted can be found in </w:t>
      </w:r>
      <w:r w:rsidR="00377A4D" w:rsidRPr="00943588">
        <w:rPr>
          <w:rFonts w:cstheme="minorHAnsi"/>
          <w:i/>
          <w:iCs/>
          <w:lang w:val="en-GB"/>
        </w:rPr>
        <w:t>Grupo Hotelero Urvasco SA v Carey Value Added SL &amp; Anor [2013] EWHC 1039 (Comm)</w:t>
      </w:r>
      <w:r w:rsidR="00377A4D" w:rsidRPr="00943588">
        <w:rPr>
          <w:rFonts w:cstheme="minorHAnsi"/>
          <w:lang w:val="en-GB"/>
        </w:rPr>
        <w:t>.</w:t>
      </w:r>
      <w:r w:rsidR="000D08C2" w:rsidRPr="00943588">
        <w:rPr>
          <w:rFonts w:cstheme="minorHAnsi"/>
          <w:lang w:val="en-GB"/>
        </w:rPr>
        <w:t xml:space="preserve"> </w:t>
      </w:r>
      <w:r w:rsidR="00D8437D" w:rsidRPr="00943588">
        <w:rPr>
          <w:rFonts w:cstheme="minorHAnsi"/>
          <w:lang w:val="en-GB"/>
        </w:rPr>
        <w:t xml:space="preserve">In </w:t>
      </w:r>
      <w:r w:rsidR="00D8437D" w:rsidRPr="00943588">
        <w:rPr>
          <w:rFonts w:cstheme="minorHAnsi"/>
          <w:i/>
          <w:iCs/>
          <w:lang w:val="en-GB"/>
        </w:rPr>
        <w:t>Grupo</w:t>
      </w:r>
      <w:r w:rsidR="00D8437D" w:rsidRPr="00943588">
        <w:rPr>
          <w:rFonts w:cstheme="minorHAnsi"/>
          <w:lang w:val="en-GB"/>
        </w:rPr>
        <w:t xml:space="preserve"> </w:t>
      </w:r>
      <w:r w:rsidR="00B246A6" w:rsidRPr="00943588">
        <w:rPr>
          <w:rFonts w:cstheme="minorHAnsi"/>
          <w:lang w:val="en-GB"/>
        </w:rPr>
        <w:t>Blair J made some helpful observations:</w:t>
      </w:r>
    </w:p>
    <w:p w14:paraId="132DA872" w14:textId="7FF5B468" w:rsidR="00D125B1" w:rsidRPr="00943588" w:rsidRDefault="00D125B1" w:rsidP="00B246A6">
      <w:pPr>
        <w:pStyle w:val="ListParagraph"/>
        <w:numPr>
          <w:ilvl w:val="0"/>
          <w:numId w:val="9"/>
        </w:numPr>
        <w:jc w:val="both"/>
        <w:rPr>
          <w:rFonts w:cstheme="minorHAnsi"/>
        </w:rPr>
      </w:pPr>
      <w:r w:rsidRPr="00943588">
        <w:rPr>
          <w:rFonts w:cstheme="minorHAnsi"/>
        </w:rPr>
        <w:t xml:space="preserve">If the change relates to </w:t>
      </w:r>
      <w:r w:rsidR="007A0B3D" w:rsidRPr="00943588">
        <w:rPr>
          <w:rFonts w:cstheme="minorHAnsi"/>
          <w:i/>
          <w:iCs/>
        </w:rPr>
        <w:t>“financial conditions”</w:t>
      </w:r>
      <w:r w:rsidR="00B26DB6" w:rsidRPr="00943588">
        <w:rPr>
          <w:rFonts w:cstheme="minorHAnsi"/>
        </w:rPr>
        <w:t>, such financial condition should be determined by reference to a company's financial information,</w:t>
      </w:r>
      <w:r w:rsidR="002D0EE5" w:rsidRPr="00943588">
        <w:rPr>
          <w:rFonts w:cstheme="minorHAnsi"/>
        </w:rPr>
        <w:t xml:space="preserve"> </w:t>
      </w:r>
      <w:r w:rsidR="00907AC7" w:rsidRPr="00943588">
        <w:rPr>
          <w:rFonts w:cstheme="minorHAnsi"/>
        </w:rPr>
        <w:t xml:space="preserve">however </w:t>
      </w:r>
      <w:r w:rsidR="00383750" w:rsidRPr="00943588">
        <w:rPr>
          <w:rFonts w:cstheme="minorHAnsi"/>
        </w:rPr>
        <w:t>other compelling evidence may be taken into account</w:t>
      </w:r>
      <w:r w:rsidR="00907AC7" w:rsidRPr="00943588">
        <w:rPr>
          <w:rFonts w:cstheme="minorHAnsi"/>
        </w:rPr>
        <w:t xml:space="preserve"> </w:t>
      </w:r>
      <w:r w:rsidR="002D0EE5" w:rsidRPr="00943588">
        <w:rPr>
          <w:rFonts w:cstheme="minorHAnsi"/>
        </w:rPr>
        <w:t>[</w:t>
      </w:r>
      <w:r w:rsidR="00383750" w:rsidRPr="00943588">
        <w:rPr>
          <w:rFonts w:cstheme="minorHAnsi"/>
        </w:rPr>
        <w:t xml:space="preserve">para </w:t>
      </w:r>
      <w:r w:rsidR="002D0EE5" w:rsidRPr="00943588">
        <w:rPr>
          <w:rFonts w:cstheme="minorHAnsi"/>
        </w:rPr>
        <w:t>351</w:t>
      </w:r>
      <w:r w:rsidR="00383750" w:rsidRPr="00943588">
        <w:rPr>
          <w:rFonts w:cstheme="minorHAnsi"/>
        </w:rPr>
        <w:t xml:space="preserve"> &amp; 352];</w:t>
      </w:r>
    </w:p>
    <w:p w14:paraId="6333429E" w14:textId="3EA320CA" w:rsidR="00B246A6" w:rsidRPr="00943588" w:rsidRDefault="00E83480" w:rsidP="00B246A6">
      <w:pPr>
        <w:pStyle w:val="ListParagraph"/>
        <w:numPr>
          <w:ilvl w:val="0"/>
          <w:numId w:val="9"/>
        </w:numPr>
        <w:jc w:val="both"/>
        <w:rPr>
          <w:rFonts w:cstheme="minorHAnsi"/>
        </w:rPr>
      </w:pPr>
      <w:r w:rsidRPr="00943588">
        <w:rPr>
          <w:rFonts w:cstheme="minorHAnsi"/>
        </w:rPr>
        <w:t xml:space="preserve">For a </w:t>
      </w:r>
      <w:r w:rsidR="00470111" w:rsidRPr="00943588">
        <w:rPr>
          <w:rFonts w:cstheme="minorHAnsi"/>
        </w:rPr>
        <w:t xml:space="preserve">change </w:t>
      </w:r>
      <w:r w:rsidRPr="00943588">
        <w:rPr>
          <w:rFonts w:cstheme="minorHAnsi"/>
        </w:rPr>
        <w:t>to be</w:t>
      </w:r>
      <w:r w:rsidR="00470111" w:rsidRPr="00943588">
        <w:rPr>
          <w:rFonts w:cstheme="minorHAnsi"/>
        </w:rPr>
        <w:t xml:space="preserve"> material it </w:t>
      </w:r>
      <w:r w:rsidRPr="00943588">
        <w:rPr>
          <w:rFonts w:cstheme="minorHAnsi"/>
        </w:rPr>
        <w:t xml:space="preserve">must </w:t>
      </w:r>
      <w:r w:rsidR="00470111" w:rsidRPr="00943588">
        <w:rPr>
          <w:rFonts w:cstheme="minorHAnsi"/>
        </w:rPr>
        <w:t>affect a company's ability to perform its obligations under the relevant agreement</w:t>
      </w:r>
      <w:r w:rsidRPr="00943588">
        <w:rPr>
          <w:rFonts w:cstheme="minorHAnsi"/>
        </w:rPr>
        <w:t xml:space="preserve"> [para </w:t>
      </w:r>
      <w:r w:rsidR="00CE6591" w:rsidRPr="00943588">
        <w:rPr>
          <w:rFonts w:cstheme="minorHAnsi"/>
        </w:rPr>
        <w:t>357]</w:t>
      </w:r>
      <w:r w:rsidR="003D215B" w:rsidRPr="00943588">
        <w:rPr>
          <w:rFonts w:cstheme="minorHAnsi"/>
        </w:rPr>
        <w:t>;</w:t>
      </w:r>
    </w:p>
    <w:p w14:paraId="032A135E" w14:textId="4B428B77" w:rsidR="00874691" w:rsidRPr="00943588" w:rsidRDefault="00874691" w:rsidP="00874691">
      <w:pPr>
        <w:pStyle w:val="ListParagraph"/>
        <w:numPr>
          <w:ilvl w:val="0"/>
          <w:numId w:val="9"/>
        </w:numPr>
        <w:jc w:val="both"/>
        <w:rPr>
          <w:rFonts w:cstheme="minorHAnsi"/>
        </w:rPr>
      </w:pPr>
      <w:r w:rsidRPr="00943588">
        <w:rPr>
          <w:rFonts w:cstheme="minorHAnsi"/>
        </w:rPr>
        <w:t>A party cannot trigger an event of default on the basis of circumstances of which it was aware at the time of entry into the agreement [358];</w:t>
      </w:r>
      <w:r w:rsidR="00383750" w:rsidRPr="00943588">
        <w:rPr>
          <w:rFonts w:cstheme="minorHAnsi"/>
        </w:rPr>
        <w:t xml:space="preserve"> and</w:t>
      </w:r>
    </w:p>
    <w:p w14:paraId="2F0CBD0B" w14:textId="52ED22FB" w:rsidR="00D139CD" w:rsidRPr="00943588" w:rsidRDefault="003D215B" w:rsidP="00383750">
      <w:pPr>
        <w:pStyle w:val="ListParagraph"/>
        <w:numPr>
          <w:ilvl w:val="0"/>
          <w:numId w:val="9"/>
        </w:numPr>
        <w:jc w:val="both"/>
        <w:rPr>
          <w:rFonts w:cstheme="minorHAnsi"/>
        </w:rPr>
      </w:pPr>
      <w:r w:rsidRPr="00943588">
        <w:rPr>
          <w:rFonts w:cstheme="minorHAnsi"/>
        </w:rPr>
        <w:t>The material change</w:t>
      </w:r>
      <w:r w:rsidR="00593A5B" w:rsidRPr="00943588">
        <w:rPr>
          <w:rFonts w:cstheme="minorHAnsi"/>
        </w:rPr>
        <w:t xml:space="preserve"> cannot be merely temporary [para 363]</w:t>
      </w:r>
      <w:r w:rsidR="00383750" w:rsidRPr="00943588">
        <w:rPr>
          <w:rFonts w:cstheme="minorHAnsi"/>
        </w:rPr>
        <w:t>.</w:t>
      </w:r>
    </w:p>
    <w:p w14:paraId="52B2544A" w14:textId="584E6CF5" w:rsidR="00BC6ED5" w:rsidRPr="00943588" w:rsidRDefault="00BC6ED5" w:rsidP="00E44EF4">
      <w:pPr>
        <w:keepNext/>
        <w:jc w:val="both"/>
        <w:rPr>
          <w:rFonts w:cstheme="minorHAnsi"/>
          <w:u w:val="single"/>
          <w:lang w:val="en-GB"/>
        </w:rPr>
      </w:pPr>
      <w:r w:rsidRPr="00943588">
        <w:rPr>
          <w:rFonts w:cstheme="minorHAnsi"/>
          <w:u w:val="single"/>
          <w:lang w:val="en-GB"/>
        </w:rPr>
        <w:lastRenderedPageBreak/>
        <w:t>(3)</w:t>
      </w:r>
      <w:r w:rsidRPr="00943588">
        <w:rPr>
          <w:rFonts w:cstheme="minorHAnsi"/>
          <w:u w:val="single"/>
          <w:lang w:val="en-GB"/>
        </w:rPr>
        <w:tab/>
        <w:t>Frustration</w:t>
      </w:r>
    </w:p>
    <w:p w14:paraId="6BCD76B1" w14:textId="767306D4" w:rsidR="00E13EF9" w:rsidRPr="00943588" w:rsidRDefault="00E13EF9" w:rsidP="00716CB0">
      <w:pPr>
        <w:jc w:val="both"/>
        <w:rPr>
          <w:rFonts w:cstheme="minorHAnsi"/>
          <w:lang w:val="en-GB"/>
        </w:rPr>
      </w:pPr>
      <w:r w:rsidRPr="00943588">
        <w:rPr>
          <w:rFonts w:cstheme="minorHAnsi"/>
          <w:lang w:val="en-GB"/>
        </w:rPr>
        <w:t xml:space="preserve">Where </w:t>
      </w:r>
      <w:r w:rsidR="00BC6ED5" w:rsidRPr="00943588">
        <w:rPr>
          <w:rFonts w:cstheme="minorHAnsi"/>
          <w:lang w:val="en-GB"/>
        </w:rPr>
        <w:t>a</w:t>
      </w:r>
      <w:r w:rsidR="003A6571" w:rsidRPr="00943588">
        <w:rPr>
          <w:rFonts w:cstheme="minorHAnsi"/>
          <w:lang w:val="en-GB"/>
        </w:rPr>
        <w:t>n</w:t>
      </w:r>
      <w:r w:rsidR="00BC6ED5" w:rsidRPr="00943588">
        <w:rPr>
          <w:rFonts w:cstheme="minorHAnsi"/>
          <w:lang w:val="en-GB"/>
        </w:rPr>
        <w:t xml:space="preserve"> FM or MAC</w:t>
      </w:r>
      <w:r w:rsidRPr="00943588">
        <w:rPr>
          <w:rFonts w:cstheme="minorHAnsi"/>
          <w:lang w:val="en-GB"/>
        </w:rPr>
        <w:t xml:space="preserve"> is </w:t>
      </w:r>
      <w:r w:rsidR="00BC6ED5" w:rsidRPr="00943588">
        <w:rPr>
          <w:rFonts w:cstheme="minorHAnsi"/>
          <w:lang w:val="en-GB"/>
        </w:rPr>
        <w:t>in</w:t>
      </w:r>
      <w:r w:rsidRPr="00943588">
        <w:rPr>
          <w:rFonts w:cstheme="minorHAnsi"/>
          <w:lang w:val="en-GB"/>
        </w:rPr>
        <w:t>applicable</w:t>
      </w:r>
      <w:r w:rsidR="000D0192" w:rsidRPr="00943588">
        <w:rPr>
          <w:rFonts w:cstheme="minorHAnsi"/>
          <w:lang w:val="en-GB"/>
        </w:rPr>
        <w:t>,</w:t>
      </w:r>
      <w:r w:rsidRPr="00943588">
        <w:rPr>
          <w:rFonts w:cstheme="minorHAnsi"/>
          <w:lang w:val="en-GB"/>
        </w:rPr>
        <w:t xml:space="preserve"> </w:t>
      </w:r>
      <w:r w:rsidR="00DA07AE" w:rsidRPr="00943588">
        <w:rPr>
          <w:rFonts w:cstheme="minorHAnsi"/>
          <w:lang w:val="en-GB"/>
        </w:rPr>
        <w:t xml:space="preserve">the </w:t>
      </w:r>
      <w:r w:rsidR="00BC6ED5" w:rsidRPr="00943588">
        <w:rPr>
          <w:rFonts w:cstheme="minorHAnsi"/>
          <w:lang w:val="en-GB"/>
        </w:rPr>
        <w:t>final bolthole of a defaulting party is the</w:t>
      </w:r>
      <w:r w:rsidR="00DA07AE" w:rsidRPr="00943588">
        <w:rPr>
          <w:rFonts w:cstheme="minorHAnsi"/>
          <w:lang w:val="en-GB"/>
        </w:rPr>
        <w:t xml:space="preserve"> common law doctrine of frustration.</w:t>
      </w:r>
      <w:r w:rsidR="002E0767" w:rsidRPr="00943588">
        <w:rPr>
          <w:rFonts w:cstheme="minorHAnsi"/>
          <w:lang w:val="en-GB"/>
        </w:rPr>
        <w:t xml:space="preserve"> </w:t>
      </w:r>
      <w:r w:rsidR="003A6571" w:rsidRPr="00943588">
        <w:rPr>
          <w:rFonts w:cstheme="minorHAnsi"/>
          <w:lang w:val="en-GB"/>
        </w:rPr>
        <w:t>In the international business of sport</w:t>
      </w:r>
      <w:r w:rsidR="00FD5CDA" w:rsidRPr="00943588">
        <w:rPr>
          <w:rFonts w:cstheme="minorHAnsi"/>
          <w:lang w:val="en-GB"/>
        </w:rPr>
        <w:t>,</w:t>
      </w:r>
      <w:r w:rsidR="003A6571" w:rsidRPr="00943588">
        <w:rPr>
          <w:rFonts w:cstheme="minorHAnsi"/>
          <w:lang w:val="en-GB"/>
        </w:rPr>
        <w:t xml:space="preserve"> d</w:t>
      </w:r>
      <w:r w:rsidR="00106961" w:rsidRPr="00943588">
        <w:rPr>
          <w:rFonts w:cstheme="minorHAnsi"/>
          <w:lang w:val="en-GB"/>
        </w:rPr>
        <w:t xml:space="preserve">efaulting parties must thus determine the proper law of the contract to assess its </w:t>
      </w:r>
      <w:r w:rsidR="003A6571" w:rsidRPr="00943588">
        <w:rPr>
          <w:rFonts w:cstheme="minorHAnsi"/>
          <w:lang w:val="en-GB"/>
        </w:rPr>
        <w:t xml:space="preserve">potential </w:t>
      </w:r>
      <w:r w:rsidR="00106961" w:rsidRPr="00943588">
        <w:rPr>
          <w:rFonts w:cstheme="minorHAnsi"/>
          <w:lang w:val="en-GB"/>
        </w:rPr>
        <w:t>availability.</w:t>
      </w:r>
    </w:p>
    <w:p w14:paraId="3ADCBF51" w14:textId="35D64678" w:rsidR="008757AE" w:rsidRPr="00943588" w:rsidRDefault="00702BB1" w:rsidP="00716CB0">
      <w:pPr>
        <w:jc w:val="both"/>
        <w:rPr>
          <w:rFonts w:cstheme="minorHAnsi"/>
          <w:lang w:val="en-GB"/>
        </w:rPr>
      </w:pPr>
      <w:r w:rsidRPr="00943588">
        <w:rPr>
          <w:rFonts w:cstheme="minorHAnsi"/>
          <w:lang w:val="en-GB"/>
        </w:rPr>
        <w:t>The doctrine of frustration operates to bring a contract prospectively to an end because of the effect of a supervening event.</w:t>
      </w:r>
      <w:r w:rsidR="003A1AEF" w:rsidRPr="00943588">
        <w:rPr>
          <w:rFonts w:cstheme="minorHAnsi"/>
          <w:lang w:val="en-GB"/>
        </w:rPr>
        <w:t xml:space="preserve"> </w:t>
      </w:r>
      <w:r w:rsidR="008757AE" w:rsidRPr="00943588">
        <w:rPr>
          <w:rFonts w:cstheme="minorHAnsi"/>
          <w:lang w:val="en-GB"/>
        </w:rPr>
        <w:t xml:space="preserve">The </w:t>
      </w:r>
      <w:r w:rsidR="005C4A07" w:rsidRPr="00943588">
        <w:rPr>
          <w:rFonts w:cstheme="minorHAnsi"/>
          <w:lang w:val="en-GB"/>
        </w:rPr>
        <w:t xml:space="preserve">two classic formulations of the </w:t>
      </w:r>
      <w:r w:rsidR="008757AE" w:rsidRPr="00943588">
        <w:rPr>
          <w:rFonts w:cstheme="minorHAnsi"/>
          <w:lang w:val="en-GB"/>
        </w:rPr>
        <w:t>test for frustration</w:t>
      </w:r>
      <w:r w:rsidR="005261E0" w:rsidRPr="00943588">
        <w:rPr>
          <w:rFonts w:cstheme="minorHAnsi"/>
          <w:lang w:val="en-GB"/>
        </w:rPr>
        <w:t xml:space="preserve"> are as follows:</w:t>
      </w:r>
      <w:r w:rsidR="00B57D2C" w:rsidRPr="00943588">
        <w:rPr>
          <w:rStyle w:val="FootnoteReference"/>
          <w:rFonts w:cstheme="minorHAnsi"/>
          <w:lang w:val="en-GB"/>
        </w:rPr>
        <w:footnoteReference w:id="10"/>
      </w:r>
    </w:p>
    <w:p w14:paraId="31801C80" w14:textId="659B07C1" w:rsidR="008757AE" w:rsidRPr="00943588" w:rsidRDefault="008757AE" w:rsidP="00FF5DD8">
      <w:pPr>
        <w:ind w:left="284"/>
        <w:jc w:val="both"/>
        <w:rPr>
          <w:rFonts w:cstheme="minorHAnsi"/>
          <w:lang w:val="en-GB"/>
        </w:rPr>
      </w:pPr>
      <w:r w:rsidRPr="00943588">
        <w:rPr>
          <w:rFonts w:cstheme="minorHAnsi"/>
          <w:i/>
          <w:iCs/>
          <w:lang w:val="en-GB"/>
        </w:rPr>
        <w:t xml:space="preserve">“… frustration occurs whenever the law recognises that without default of either party a contractual </w:t>
      </w:r>
      <w:r w:rsidRPr="00943588">
        <w:rPr>
          <w:rFonts w:cstheme="minorHAnsi"/>
          <w:i/>
          <w:lang w:val="en-GB"/>
        </w:rPr>
        <w:t xml:space="preserve">obligation </w:t>
      </w:r>
      <w:r w:rsidRPr="00943588">
        <w:rPr>
          <w:rFonts w:cstheme="minorHAnsi"/>
          <w:i/>
          <w:iCs/>
          <w:lang w:val="en-GB"/>
        </w:rPr>
        <w:t xml:space="preserve">has become incapable of being performed because the circumstances in which performance is called for would render it a thing radically different </w:t>
      </w:r>
      <w:r w:rsidRPr="00943588">
        <w:rPr>
          <w:rFonts w:cstheme="minorHAnsi"/>
          <w:i/>
          <w:lang w:val="en-GB"/>
        </w:rPr>
        <w:t xml:space="preserve">from that </w:t>
      </w:r>
      <w:r w:rsidRPr="00943588">
        <w:rPr>
          <w:rFonts w:cstheme="minorHAnsi"/>
          <w:i/>
          <w:iCs/>
          <w:lang w:val="en-GB"/>
        </w:rPr>
        <w:t xml:space="preserve">which was </w:t>
      </w:r>
      <w:r w:rsidRPr="00943588">
        <w:rPr>
          <w:rFonts w:cstheme="minorHAnsi"/>
          <w:i/>
          <w:lang w:val="en-GB"/>
        </w:rPr>
        <w:t xml:space="preserve">undertaken </w:t>
      </w:r>
      <w:r w:rsidRPr="00943588">
        <w:rPr>
          <w:rFonts w:cstheme="minorHAnsi"/>
          <w:i/>
          <w:iCs/>
          <w:lang w:val="en-GB"/>
        </w:rPr>
        <w:t>by the contract</w:t>
      </w:r>
      <w:r w:rsidR="008A123B" w:rsidRPr="00943588">
        <w:rPr>
          <w:rFonts w:cstheme="minorHAnsi"/>
          <w:i/>
          <w:iCs/>
          <w:lang w:val="en-GB"/>
        </w:rPr>
        <w:t>.</w:t>
      </w:r>
      <w:r w:rsidRPr="00943588">
        <w:rPr>
          <w:rFonts w:cstheme="minorHAnsi"/>
          <w:i/>
          <w:iCs/>
          <w:lang w:val="en-GB"/>
        </w:rPr>
        <w:t>..”</w:t>
      </w:r>
      <w:r w:rsidR="006B65EB" w:rsidRPr="00943588">
        <w:rPr>
          <w:rStyle w:val="FootnoteReference"/>
          <w:rFonts w:cstheme="minorHAnsi"/>
          <w:lang w:val="en-GB"/>
        </w:rPr>
        <w:footnoteReference w:id="11"/>
      </w:r>
    </w:p>
    <w:p w14:paraId="57A9124F" w14:textId="04AE10A7" w:rsidR="000F683A" w:rsidRPr="00943588" w:rsidRDefault="000F683A" w:rsidP="003A1AEF">
      <w:pPr>
        <w:ind w:left="284"/>
        <w:jc w:val="both"/>
        <w:rPr>
          <w:rFonts w:cstheme="minorHAnsi"/>
          <w:i/>
          <w:iCs/>
          <w:lang w:val="en-GB"/>
        </w:rPr>
      </w:pPr>
      <w:r w:rsidRPr="00943588">
        <w:rPr>
          <w:rFonts w:cstheme="minorHAnsi"/>
          <w:i/>
          <w:iCs/>
          <w:lang w:val="en-GB"/>
        </w:rPr>
        <w:t xml:space="preserve">“Frustration </w:t>
      </w:r>
      <w:r w:rsidR="008A123B" w:rsidRPr="00943588">
        <w:rPr>
          <w:rFonts w:cstheme="minorHAnsi"/>
          <w:i/>
          <w:iCs/>
          <w:lang w:val="en-GB"/>
        </w:rPr>
        <w:t xml:space="preserve">[occurs] </w:t>
      </w:r>
      <w:r w:rsidRPr="00943588">
        <w:rPr>
          <w:rFonts w:cstheme="minorHAnsi"/>
          <w:i/>
          <w:iCs/>
          <w:lang w:val="en-GB"/>
        </w:rPr>
        <w:t xml:space="preserve">where there supervenes an event (without default of either party and for which the contract makes no sufficient provision) which so significantly changes the nature (not merely the expense or onerousness) of the outstanding contractual rights and/or obligations from what the parties could reasonably have contemplated </w:t>
      </w:r>
      <w:r w:rsidRPr="00943588">
        <w:rPr>
          <w:rFonts w:cstheme="minorHAnsi"/>
          <w:i/>
          <w:lang w:val="en-GB"/>
        </w:rPr>
        <w:t xml:space="preserve">at the </w:t>
      </w:r>
      <w:r w:rsidRPr="00943588">
        <w:rPr>
          <w:rFonts w:cstheme="minorHAnsi"/>
          <w:i/>
          <w:iCs/>
          <w:lang w:val="en-GB"/>
        </w:rPr>
        <w:t>time of its execution that it would be unjust to hold them to the literal sense of its stipulations</w:t>
      </w:r>
      <w:r w:rsidR="008A123B" w:rsidRPr="00943588">
        <w:rPr>
          <w:rFonts w:cstheme="minorHAnsi"/>
          <w:i/>
          <w:iCs/>
          <w:lang w:val="en-GB"/>
        </w:rPr>
        <w:t>..</w:t>
      </w:r>
      <w:r w:rsidRPr="00943588">
        <w:rPr>
          <w:rFonts w:cstheme="minorHAnsi"/>
          <w:i/>
          <w:iCs/>
          <w:lang w:val="en-GB"/>
        </w:rPr>
        <w:t>.”</w:t>
      </w:r>
      <w:r w:rsidR="00FF5DD8" w:rsidRPr="00943588">
        <w:rPr>
          <w:rStyle w:val="FootnoteReference"/>
          <w:rFonts w:cstheme="minorHAnsi"/>
          <w:i/>
          <w:iCs/>
          <w:lang w:val="en-GB"/>
        </w:rPr>
        <w:footnoteReference w:id="12"/>
      </w:r>
    </w:p>
    <w:p w14:paraId="6789B88F" w14:textId="4AE701EF" w:rsidR="00642B22" w:rsidRPr="00943588" w:rsidRDefault="003758EF" w:rsidP="00A1561D">
      <w:pPr>
        <w:jc w:val="both"/>
        <w:rPr>
          <w:rFonts w:cstheme="minorHAnsi"/>
          <w:lang w:val="en-GB"/>
        </w:rPr>
      </w:pPr>
      <w:r w:rsidRPr="00943588">
        <w:rPr>
          <w:rFonts w:cstheme="minorHAnsi"/>
          <w:lang w:val="en-GB"/>
        </w:rPr>
        <w:t xml:space="preserve">Impossibility of performance would clearly meet </w:t>
      </w:r>
      <w:r w:rsidR="00E23702" w:rsidRPr="00943588">
        <w:rPr>
          <w:rFonts w:cstheme="minorHAnsi"/>
          <w:lang w:val="en-GB"/>
        </w:rPr>
        <w:t>either</w:t>
      </w:r>
      <w:r w:rsidRPr="00943588">
        <w:rPr>
          <w:rFonts w:cstheme="minorHAnsi"/>
          <w:lang w:val="en-GB"/>
        </w:rPr>
        <w:t xml:space="preserve"> def</w:t>
      </w:r>
      <w:r w:rsidR="00E23702" w:rsidRPr="00943588">
        <w:rPr>
          <w:rFonts w:cstheme="minorHAnsi"/>
          <w:lang w:val="en-GB"/>
        </w:rPr>
        <w:t>inition</w:t>
      </w:r>
      <w:r w:rsidR="004D0962" w:rsidRPr="00943588">
        <w:rPr>
          <w:rFonts w:cstheme="minorHAnsi"/>
          <w:lang w:val="en-GB"/>
        </w:rPr>
        <w:t>.</w:t>
      </w:r>
    </w:p>
    <w:p w14:paraId="31300A27" w14:textId="4D698ABC" w:rsidR="000D2288" w:rsidRPr="00943588" w:rsidRDefault="00106961" w:rsidP="00A1561D">
      <w:pPr>
        <w:jc w:val="both"/>
        <w:rPr>
          <w:rFonts w:cstheme="minorHAnsi"/>
          <w:b/>
          <w:bCs/>
          <w:lang w:val="en-GB"/>
        </w:rPr>
      </w:pPr>
      <w:r w:rsidRPr="00943588">
        <w:rPr>
          <w:rFonts w:cstheme="minorHAnsi"/>
          <w:lang w:val="en-GB"/>
        </w:rPr>
        <w:t>The fact that the parties may have defined their response to particular situations through an FM or MAC is likely to affect and circumscribe the application of the doctrine.</w:t>
      </w:r>
      <w:r w:rsidR="00E64E6C" w:rsidRPr="00943588">
        <w:rPr>
          <w:rFonts w:cstheme="minorHAnsi"/>
          <w:lang w:val="en-GB"/>
        </w:rPr>
        <w:t xml:space="preserve"> Further</w:t>
      </w:r>
      <w:r w:rsidR="008A2E1E" w:rsidRPr="00943588">
        <w:rPr>
          <w:rFonts w:cstheme="minorHAnsi"/>
          <w:lang w:val="en-GB"/>
        </w:rPr>
        <w:t>,</w:t>
      </w:r>
      <w:r w:rsidR="00E64E6C" w:rsidRPr="00943588">
        <w:rPr>
          <w:rFonts w:cstheme="minorHAnsi"/>
          <w:lang w:val="en-GB"/>
        </w:rPr>
        <w:t xml:space="preserve"> foreseen occurrences are unlikely to amount to frustrating events</w:t>
      </w:r>
      <w:r w:rsidR="000145DD" w:rsidRPr="00943588">
        <w:rPr>
          <w:rFonts w:cstheme="minorHAnsi"/>
          <w:lang w:val="en-GB"/>
        </w:rPr>
        <w:t>.</w:t>
      </w:r>
      <w:r w:rsidR="002D051A" w:rsidRPr="00943588">
        <w:rPr>
          <w:rStyle w:val="FootnoteReference"/>
          <w:rFonts w:cstheme="minorHAnsi"/>
          <w:lang w:val="en-GB"/>
        </w:rPr>
        <w:footnoteReference w:id="13"/>
      </w:r>
      <w:r w:rsidR="00E64E6C" w:rsidRPr="00943588">
        <w:rPr>
          <w:rFonts w:cstheme="minorHAnsi"/>
          <w:lang w:val="en-GB"/>
        </w:rPr>
        <w:t xml:space="preserve"> </w:t>
      </w:r>
    </w:p>
    <w:p w14:paraId="32DDC179" w14:textId="7D1B376C" w:rsidR="00106961" w:rsidRPr="00943588" w:rsidRDefault="008A2E1E" w:rsidP="00106961">
      <w:pPr>
        <w:jc w:val="both"/>
        <w:rPr>
          <w:rFonts w:cstheme="minorHAnsi"/>
          <w:lang w:val="en-GB"/>
        </w:rPr>
      </w:pPr>
      <w:r w:rsidRPr="00943588">
        <w:rPr>
          <w:rFonts w:cstheme="minorHAnsi"/>
          <w:lang w:val="en-GB"/>
        </w:rPr>
        <w:t>It should be noted that t</w:t>
      </w:r>
      <w:r w:rsidR="00106961" w:rsidRPr="00943588">
        <w:rPr>
          <w:rFonts w:cstheme="minorHAnsi"/>
          <w:lang w:val="en-GB"/>
        </w:rPr>
        <w:t xml:space="preserve">he doctrine of frustration is more likely </w:t>
      </w:r>
      <w:r w:rsidR="00914DB0" w:rsidRPr="00943588">
        <w:rPr>
          <w:rFonts w:cstheme="minorHAnsi"/>
          <w:lang w:val="en-GB"/>
        </w:rPr>
        <w:t xml:space="preserve">to be </w:t>
      </w:r>
      <w:r w:rsidR="00106961" w:rsidRPr="00943588">
        <w:rPr>
          <w:rFonts w:cstheme="minorHAnsi"/>
          <w:lang w:val="en-GB"/>
        </w:rPr>
        <w:t xml:space="preserve">successfully invoked in certain types of contracts as to others. For example the courts have shown a reticence to apply the same </w:t>
      </w:r>
      <w:r w:rsidR="003A6571" w:rsidRPr="00943588">
        <w:rPr>
          <w:rFonts w:cstheme="minorHAnsi"/>
          <w:lang w:val="en-GB"/>
        </w:rPr>
        <w:t>as regards</w:t>
      </w:r>
      <w:r w:rsidR="00106961" w:rsidRPr="00943588">
        <w:rPr>
          <w:rFonts w:cstheme="minorHAnsi"/>
          <w:lang w:val="en-GB"/>
        </w:rPr>
        <w:t xml:space="preserve"> personal contracts of employment</w:t>
      </w:r>
      <w:r w:rsidR="00DD01DA" w:rsidRPr="00943588">
        <w:rPr>
          <w:rFonts w:cstheme="minorHAnsi"/>
          <w:lang w:val="en-GB"/>
        </w:rPr>
        <w:t>.</w:t>
      </w:r>
      <w:r w:rsidR="00DD01DA" w:rsidRPr="00943588">
        <w:rPr>
          <w:rStyle w:val="FootnoteReference"/>
          <w:rFonts w:cstheme="minorHAnsi"/>
          <w:lang w:val="en-GB"/>
        </w:rPr>
        <w:footnoteReference w:id="14"/>
      </w:r>
    </w:p>
    <w:p w14:paraId="501B385F" w14:textId="2CCDCFE2" w:rsidR="002811E5" w:rsidRPr="00943588" w:rsidRDefault="00BC6ED5" w:rsidP="002811E5">
      <w:pPr>
        <w:jc w:val="both"/>
        <w:rPr>
          <w:rFonts w:cstheme="minorHAnsi"/>
          <w:lang w:val="en-GB"/>
        </w:rPr>
      </w:pPr>
      <w:r w:rsidRPr="00943588">
        <w:rPr>
          <w:rFonts w:cstheme="minorHAnsi"/>
          <w:lang w:val="en-GB"/>
        </w:rPr>
        <w:t xml:space="preserve">Considerations of </w:t>
      </w:r>
      <w:r w:rsidR="00094111" w:rsidRPr="00943588">
        <w:rPr>
          <w:rFonts w:cstheme="minorHAnsi"/>
          <w:lang w:val="en-GB"/>
        </w:rPr>
        <w:t>cancellation or delay shall</w:t>
      </w:r>
      <w:r w:rsidR="002811E5" w:rsidRPr="00943588">
        <w:rPr>
          <w:rFonts w:cstheme="minorHAnsi"/>
          <w:lang w:val="en-GB"/>
        </w:rPr>
        <w:t xml:space="preserve"> impact on whether the doctrine of frustration can be invoked</w:t>
      </w:r>
      <w:r w:rsidR="00CF4891" w:rsidRPr="00943588">
        <w:rPr>
          <w:rFonts w:cstheme="minorHAnsi"/>
          <w:lang w:val="en-GB"/>
        </w:rPr>
        <w:t>.</w:t>
      </w:r>
      <w:r w:rsidR="003C0468" w:rsidRPr="00943588">
        <w:rPr>
          <w:rFonts w:cstheme="minorHAnsi"/>
          <w:lang w:val="en-GB"/>
        </w:rPr>
        <w:t xml:space="preserve"> </w:t>
      </w:r>
      <w:r w:rsidR="00E64E6C" w:rsidRPr="00943588">
        <w:rPr>
          <w:rFonts w:cstheme="minorHAnsi"/>
          <w:lang w:val="en-GB"/>
        </w:rPr>
        <w:t xml:space="preserve">Mere delay, of itself, may not constitute a frustrating event. </w:t>
      </w:r>
      <w:r w:rsidR="003C0468" w:rsidRPr="00943588">
        <w:rPr>
          <w:rFonts w:cstheme="minorHAnsi"/>
          <w:lang w:val="en-GB"/>
        </w:rPr>
        <w:t xml:space="preserve">This is </w:t>
      </w:r>
      <w:r w:rsidR="00AD5718" w:rsidRPr="00943588">
        <w:rPr>
          <w:rFonts w:cstheme="minorHAnsi"/>
          <w:lang w:val="en-GB"/>
        </w:rPr>
        <w:t>because</w:t>
      </w:r>
      <w:r w:rsidR="00E64E6C" w:rsidRPr="00943588">
        <w:rPr>
          <w:rFonts w:cstheme="minorHAnsi"/>
          <w:lang w:val="en-GB"/>
        </w:rPr>
        <w:t xml:space="preserve"> </w:t>
      </w:r>
      <w:r w:rsidR="000D120E" w:rsidRPr="00943588">
        <w:rPr>
          <w:rFonts w:cstheme="minorHAnsi"/>
          <w:lang w:val="en-GB"/>
        </w:rPr>
        <w:t xml:space="preserve">the performance of the contractual obligation </w:t>
      </w:r>
      <w:r w:rsidR="00094111" w:rsidRPr="00943588">
        <w:rPr>
          <w:rFonts w:cstheme="minorHAnsi"/>
          <w:lang w:val="en-GB"/>
        </w:rPr>
        <w:t xml:space="preserve">may </w:t>
      </w:r>
      <w:r w:rsidR="00110663" w:rsidRPr="00943588">
        <w:rPr>
          <w:rFonts w:cstheme="minorHAnsi"/>
          <w:lang w:val="en-GB"/>
        </w:rPr>
        <w:t xml:space="preserve">still </w:t>
      </w:r>
      <w:r w:rsidR="00E64E6C" w:rsidRPr="00943588">
        <w:rPr>
          <w:rFonts w:cstheme="minorHAnsi"/>
          <w:lang w:val="en-GB"/>
        </w:rPr>
        <w:t>remain</w:t>
      </w:r>
      <w:r w:rsidR="00110663" w:rsidRPr="00943588">
        <w:rPr>
          <w:rFonts w:cstheme="minorHAnsi"/>
          <w:lang w:val="en-GB"/>
        </w:rPr>
        <w:t xml:space="preserve"> possible</w:t>
      </w:r>
      <w:r w:rsidR="00E64E6C" w:rsidRPr="00943588">
        <w:rPr>
          <w:rFonts w:cstheme="minorHAnsi"/>
          <w:lang w:val="en-GB"/>
        </w:rPr>
        <w:t xml:space="preserve"> in a recognisable form</w:t>
      </w:r>
      <w:r w:rsidR="00110663" w:rsidRPr="00943588">
        <w:rPr>
          <w:rFonts w:cstheme="minorHAnsi"/>
          <w:lang w:val="en-GB"/>
        </w:rPr>
        <w:t>.</w:t>
      </w:r>
      <w:r w:rsidR="00AD5718" w:rsidRPr="00943588">
        <w:rPr>
          <w:rFonts w:cstheme="minorHAnsi"/>
          <w:lang w:val="en-GB"/>
        </w:rPr>
        <w:t xml:space="preserve"> A p</w:t>
      </w:r>
      <w:r w:rsidR="00B32594" w:rsidRPr="00943588">
        <w:rPr>
          <w:rFonts w:cstheme="minorHAnsi"/>
          <w:lang w:val="en-GB"/>
        </w:rPr>
        <w:t xml:space="preserve">arty </w:t>
      </w:r>
      <w:r w:rsidR="00E64E6C" w:rsidRPr="00943588">
        <w:rPr>
          <w:rFonts w:cstheme="minorHAnsi"/>
          <w:lang w:val="en-GB"/>
        </w:rPr>
        <w:t xml:space="preserve">asserting </w:t>
      </w:r>
      <w:r w:rsidR="00AD4F60" w:rsidRPr="00943588">
        <w:rPr>
          <w:rFonts w:cstheme="minorHAnsi"/>
          <w:lang w:val="en-GB"/>
        </w:rPr>
        <w:t>frustration</w:t>
      </w:r>
      <w:r w:rsidR="00B32594" w:rsidRPr="00943588">
        <w:rPr>
          <w:rFonts w:cstheme="minorHAnsi"/>
          <w:lang w:val="en-GB"/>
        </w:rPr>
        <w:t xml:space="preserve"> must </w:t>
      </w:r>
      <w:r w:rsidR="00E64E6C" w:rsidRPr="00943588">
        <w:rPr>
          <w:rFonts w:cstheme="minorHAnsi"/>
          <w:lang w:val="en-GB"/>
        </w:rPr>
        <w:t xml:space="preserve">demonstrate </w:t>
      </w:r>
      <w:r w:rsidR="00B32594" w:rsidRPr="00943588">
        <w:rPr>
          <w:rFonts w:cstheme="minorHAnsi"/>
          <w:lang w:val="en-GB"/>
        </w:rPr>
        <w:t xml:space="preserve">that the </w:t>
      </w:r>
      <w:r w:rsidR="00846872" w:rsidRPr="00943588">
        <w:rPr>
          <w:rFonts w:cstheme="minorHAnsi"/>
          <w:lang w:val="en-GB"/>
        </w:rPr>
        <w:t xml:space="preserve">delay would </w:t>
      </w:r>
      <w:r w:rsidR="00D83F45" w:rsidRPr="00943588">
        <w:rPr>
          <w:rFonts w:cstheme="minorHAnsi"/>
          <w:lang w:val="en-GB"/>
        </w:rPr>
        <w:t>result in</w:t>
      </w:r>
      <w:r w:rsidR="00846872" w:rsidRPr="00943588">
        <w:rPr>
          <w:rFonts w:cstheme="minorHAnsi"/>
          <w:lang w:val="en-GB"/>
        </w:rPr>
        <w:t xml:space="preserve"> the ultimate performance</w:t>
      </w:r>
      <w:r w:rsidR="00D83F45" w:rsidRPr="00943588">
        <w:rPr>
          <w:rFonts w:cstheme="minorHAnsi"/>
          <w:lang w:val="en-GB"/>
        </w:rPr>
        <w:t xml:space="preserve"> being </w:t>
      </w:r>
      <w:r w:rsidR="00567029" w:rsidRPr="00943588">
        <w:rPr>
          <w:rFonts w:cstheme="minorHAnsi"/>
          <w:lang w:val="en-GB"/>
        </w:rPr>
        <w:t xml:space="preserve">something </w:t>
      </w:r>
      <w:r w:rsidR="000B2A7A" w:rsidRPr="00943588">
        <w:rPr>
          <w:rFonts w:cstheme="minorHAnsi"/>
          <w:i/>
          <w:iCs/>
          <w:lang w:val="en-GB"/>
        </w:rPr>
        <w:t>“</w:t>
      </w:r>
      <w:r w:rsidR="00567029" w:rsidRPr="00943588">
        <w:rPr>
          <w:rFonts w:cstheme="minorHAnsi"/>
          <w:i/>
          <w:lang w:val="en-GB"/>
        </w:rPr>
        <w:t>radically different</w:t>
      </w:r>
      <w:r w:rsidR="000B2A7A" w:rsidRPr="00943588">
        <w:rPr>
          <w:rFonts w:cstheme="minorHAnsi"/>
          <w:i/>
          <w:iCs/>
          <w:lang w:val="en-GB"/>
        </w:rPr>
        <w:t>”</w:t>
      </w:r>
      <w:r w:rsidR="00567029" w:rsidRPr="00943588">
        <w:rPr>
          <w:rFonts w:cstheme="minorHAnsi"/>
          <w:lang w:val="en-GB"/>
        </w:rPr>
        <w:t xml:space="preserve"> from that which was </w:t>
      </w:r>
      <w:r w:rsidR="00094111" w:rsidRPr="00943588">
        <w:rPr>
          <w:rFonts w:cstheme="minorHAnsi"/>
          <w:lang w:val="en-GB"/>
        </w:rPr>
        <w:t xml:space="preserve">envisaged </w:t>
      </w:r>
      <w:r w:rsidR="00567029" w:rsidRPr="00943588">
        <w:rPr>
          <w:rFonts w:cstheme="minorHAnsi"/>
          <w:lang w:val="en-GB"/>
        </w:rPr>
        <w:t>under the contract</w:t>
      </w:r>
      <w:r w:rsidR="00C75356" w:rsidRPr="00943588">
        <w:rPr>
          <w:rStyle w:val="FootnoteReference"/>
          <w:rFonts w:cstheme="minorHAnsi"/>
          <w:lang w:val="en-GB"/>
        </w:rPr>
        <w:footnoteReference w:id="15"/>
      </w:r>
      <w:r w:rsidR="00567029" w:rsidRPr="00943588">
        <w:rPr>
          <w:rFonts w:cstheme="minorHAnsi"/>
          <w:lang w:val="en-GB"/>
        </w:rPr>
        <w:t>.</w:t>
      </w:r>
    </w:p>
    <w:p w14:paraId="7C126742" w14:textId="1F0C5B84" w:rsidR="003723B9" w:rsidRPr="00943588" w:rsidRDefault="00683D91" w:rsidP="00E3739A">
      <w:pPr>
        <w:jc w:val="both"/>
        <w:rPr>
          <w:rFonts w:cstheme="minorHAnsi"/>
          <w:lang w:val="en-GB"/>
        </w:rPr>
      </w:pPr>
      <w:r w:rsidRPr="00943588">
        <w:rPr>
          <w:rFonts w:cstheme="minorHAnsi"/>
          <w:lang w:val="en-GB"/>
        </w:rPr>
        <w:t>For example,</w:t>
      </w:r>
      <w:r w:rsidR="00C77237" w:rsidRPr="00943588">
        <w:rPr>
          <w:rFonts w:cstheme="minorHAnsi"/>
          <w:lang w:val="en-GB"/>
        </w:rPr>
        <w:t xml:space="preserve"> </w:t>
      </w:r>
      <w:r w:rsidR="00106961" w:rsidRPr="00943588">
        <w:rPr>
          <w:rFonts w:cstheme="minorHAnsi"/>
          <w:lang w:val="en-GB"/>
        </w:rPr>
        <w:t xml:space="preserve">the delay of the Premiership football </w:t>
      </w:r>
      <w:r w:rsidR="00C77237" w:rsidRPr="00943588">
        <w:rPr>
          <w:rFonts w:cstheme="minorHAnsi"/>
          <w:lang w:val="en-GB"/>
        </w:rPr>
        <w:t xml:space="preserve">season </w:t>
      </w:r>
      <w:r w:rsidR="00106961" w:rsidRPr="00943588">
        <w:rPr>
          <w:rFonts w:cstheme="minorHAnsi"/>
          <w:lang w:val="en-GB"/>
        </w:rPr>
        <w:t xml:space="preserve">means that </w:t>
      </w:r>
      <w:r w:rsidR="00C77237" w:rsidRPr="00943588">
        <w:rPr>
          <w:rFonts w:cstheme="minorHAnsi"/>
          <w:lang w:val="en-GB"/>
        </w:rPr>
        <w:t xml:space="preserve">ticket holders </w:t>
      </w:r>
      <w:r w:rsidR="00106961" w:rsidRPr="00943588">
        <w:rPr>
          <w:rFonts w:cstheme="minorHAnsi"/>
          <w:lang w:val="en-GB"/>
        </w:rPr>
        <w:t>shall</w:t>
      </w:r>
      <w:r w:rsidR="00C77237" w:rsidRPr="00943588">
        <w:rPr>
          <w:rFonts w:cstheme="minorHAnsi"/>
          <w:lang w:val="en-GB"/>
        </w:rPr>
        <w:t xml:space="preserve"> </w:t>
      </w:r>
      <w:r w:rsidR="00E64E6C" w:rsidRPr="00943588">
        <w:rPr>
          <w:rFonts w:cstheme="minorHAnsi"/>
          <w:lang w:val="en-GB"/>
        </w:rPr>
        <w:t xml:space="preserve">still be able in due course to watch their teams play </w:t>
      </w:r>
      <w:r w:rsidR="00D074F2" w:rsidRPr="00943588">
        <w:rPr>
          <w:rFonts w:cstheme="minorHAnsi"/>
          <w:lang w:val="en-GB"/>
        </w:rPr>
        <w:t>and will be hard-pressed to rely on the doctrine of frustration</w:t>
      </w:r>
      <w:r w:rsidR="009877B9" w:rsidRPr="00943588">
        <w:rPr>
          <w:rFonts w:cstheme="minorHAnsi"/>
          <w:lang w:val="en-GB"/>
        </w:rPr>
        <w:t>. On the other hand</w:t>
      </w:r>
      <w:r w:rsidRPr="00943588">
        <w:rPr>
          <w:rFonts w:cstheme="minorHAnsi"/>
          <w:lang w:val="en-GB"/>
        </w:rPr>
        <w:t>,</w:t>
      </w:r>
      <w:r w:rsidR="009877B9" w:rsidRPr="00943588">
        <w:rPr>
          <w:rFonts w:cstheme="minorHAnsi"/>
          <w:lang w:val="en-GB"/>
        </w:rPr>
        <w:t xml:space="preserve"> </w:t>
      </w:r>
      <w:r w:rsidR="00AB1FF9" w:rsidRPr="00943588">
        <w:rPr>
          <w:rFonts w:cstheme="minorHAnsi"/>
          <w:lang w:val="en-GB"/>
        </w:rPr>
        <w:t xml:space="preserve">certain </w:t>
      </w:r>
      <w:r w:rsidR="009877B9" w:rsidRPr="00943588">
        <w:rPr>
          <w:rFonts w:cstheme="minorHAnsi"/>
          <w:lang w:val="en-GB"/>
        </w:rPr>
        <w:t xml:space="preserve">rights </w:t>
      </w:r>
      <w:r w:rsidR="00AB1FF9" w:rsidRPr="00943588">
        <w:rPr>
          <w:rFonts w:cstheme="minorHAnsi"/>
          <w:lang w:val="en-GB"/>
        </w:rPr>
        <w:t xml:space="preserve">may tie to specific </w:t>
      </w:r>
      <w:r w:rsidR="003E0C33" w:rsidRPr="00943588">
        <w:rPr>
          <w:rFonts w:cstheme="minorHAnsi"/>
          <w:lang w:val="en-GB"/>
        </w:rPr>
        <w:t xml:space="preserve">dates rather than the </w:t>
      </w:r>
      <w:r w:rsidR="00AB1FF9" w:rsidRPr="00943588">
        <w:rPr>
          <w:rFonts w:cstheme="minorHAnsi"/>
          <w:lang w:val="en-GB"/>
        </w:rPr>
        <w:t xml:space="preserve">sporting season </w:t>
      </w:r>
      <w:r w:rsidR="003E0C33" w:rsidRPr="00943588">
        <w:rPr>
          <w:rFonts w:cstheme="minorHAnsi"/>
          <w:lang w:val="en-GB"/>
        </w:rPr>
        <w:t>and in such event the doctrine of frustration may be applicable</w:t>
      </w:r>
      <w:r w:rsidR="00224663" w:rsidRPr="00943588">
        <w:rPr>
          <w:rFonts w:cstheme="minorHAnsi"/>
          <w:lang w:val="en-GB"/>
        </w:rPr>
        <w:t>.</w:t>
      </w:r>
      <w:r w:rsidR="003A6571" w:rsidRPr="00943588">
        <w:rPr>
          <w:rFonts w:cstheme="minorHAnsi"/>
          <w:lang w:val="en-GB"/>
        </w:rPr>
        <w:t xml:space="preserve"> This might apply if, for example, UEFA chose to cancel the 2019/20 Champions’ League.</w:t>
      </w:r>
    </w:p>
    <w:p w14:paraId="68EA6EA8" w14:textId="09D30E4F" w:rsidR="0088576F" w:rsidRPr="00943588" w:rsidRDefault="00723D28" w:rsidP="00E40E2F">
      <w:pPr>
        <w:jc w:val="both"/>
        <w:rPr>
          <w:rFonts w:cstheme="minorHAnsi"/>
          <w:lang w:val="en-GB"/>
        </w:rPr>
      </w:pPr>
      <w:r w:rsidRPr="00943588">
        <w:rPr>
          <w:rFonts w:cstheme="minorHAnsi"/>
          <w:lang w:val="en-GB"/>
        </w:rPr>
        <w:t>Once</w:t>
      </w:r>
      <w:r w:rsidR="0038198A" w:rsidRPr="00943588">
        <w:rPr>
          <w:rFonts w:cstheme="minorHAnsi"/>
          <w:lang w:val="en-GB"/>
        </w:rPr>
        <w:t xml:space="preserve"> frustration </w:t>
      </w:r>
      <w:r w:rsidR="00DA2254" w:rsidRPr="00943588">
        <w:rPr>
          <w:rFonts w:cstheme="minorHAnsi"/>
          <w:lang w:val="en-GB"/>
        </w:rPr>
        <w:t xml:space="preserve">is established the legal </w:t>
      </w:r>
      <w:r w:rsidR="009C5008" w:rsidRPr="00943588">
        <w:rPr>
          <w:rFonts w:cstheme="minorHAnsi"/>
          <w:lang w:val="en-GB"/>
        </w:rPr>
        <w:t>consequences</w:t>
      </w:r>
      <w:r w:rsidR="00DA2254" w:rsidRPr="00943588">
        <w:rPr>
          <w:rFonts w:cstheme="minorHAnsi"/>
          <w:lang w:val="en-GB"/>
        </w:rPr>
        <w:t xml:space="preserve"> </w:t>
      </w:r>
      <w:r w:rsidR="009C5008" w:rsidRPr="00943588">
        <w:rPr>
          <w:rFonts w:cstheme="minorHAnsi"/>
          <w:lang w:val="en-GB"/>
        </w:rPr>
        <w:t xml:space="preserve">thereof are provided for </w:t>
      </w:r>
      <w:r w:rsidR="006042C6" w:rsidRPr="00943588">
        <w:rPr>
          <w:rFonts w:cstheme="minorHAnsi"/>
          <w:lang w:val="en-GB"/>
        </w:rPr>
        <w:t>in terms of</w:t>
      </w:r>
      <w:r w:rsidR="009C5008" w:rsidRPr="00943588">
        <w:rPr>
          <w:rFonts w:cstheme="minorHAnsi"/>
          <w:lang w:val="en-GB"/>
        </w:rPr>
        <w:t xml:space="preserve"> </w:t>
      </w:r>
      <w:r w:rsidR="00E40E2F" w:rsidRPr="00943588">
        <w:rPr>
          <w:rFonts w:cstheme="minorHAnsi"/>
          <w:lang w:val="en-GB"/>
        </w:rPr>
        <w:t xml:space="preserve">the </w:t>
      </w:r>
      <w:r w:rsidR="00E40E2F" w:rsidRPr="00943588">
        <w:rPr>
          <w:rFonts w:cstheme="minorHAnsi"/>
          <w:i/>
          <w:iCs/>
          <w:lang w:val="en-GB"/>
        </w:rPr>
        <w:t>Law Reform (Frustrated Contracts) Act</w:t>
      </w:r>
      <w:r w:rsidR="009C5008" w:rsidRPr="00943588">
        <w:rPr>
          <w:rFonts w:cstheme="minorHAnsi"/>
          <w:i/>
          <w:iCs/>
          <w:lang w:val="en-GB"/>
        </w:rPr>
        <w:t>,</w:t>
      </w:r>
      <w:r w:rsidR="00E40E2F" w:rsidRPr="00943588">
        <w:rPr>
          <w:rFonts w:cstheme="minorHAnsi"/>
          <w:i/>
          <w:iCs/>
          <w:lang w:val="en-GB"/>
        </w:rPr>
        <w:t xml:space="preserve"> 1943</w:t>
      </w:r>
      <w:r w:rsidR="006042C6" w:rsidRPr="00943588">
        <w:rPr>
          <w:rFonts w:cstheme="minorHAnsi"/>
          <w:lang w:val="en-GB"/>
        </w:rPr>
        <w:t>;</w:t>
      </w:r>
      <w:r w:rsidR="009C5008" w:rsidRPr="00943588">
        <w:rPr>
          <w:rFonts w:cstheme="minorHAnsi"/>
          <w:lang w:val="en-GB"/>
        </w:rPr>
        <w:t xml:space="preserve"> </w:t>
      </w:r>
      <w:r w:rsidR="00ED530E" w:rsidRPr="00943588">
        <w:rPr>
          <w:rFonts w:cstheme="minorHAnsi"/>
          <w:lang w:val="en-GB"/>
        </w:rPr>
        <w:t>alternatively</w:t>
      </w:r>
      <w:r w:rsidR="006042C6" w:rsidRPr="00943588">
        <w:rPr>
          <w:rFonts w:cstheme="minorHAnsi"/>
          <w:lang w:val="en-GB"/>
        </w:rPr>
        <w:t>,</w:t>
      </w:r>
      <w:r w:rsidRPr="00943588">
        <w:rPr>
          <w:rFonts w:cstheme="minorHAnsi"/>
          <w:lang w:val="en-GB"/>
        </w:rPr>
        <w:t xml:space="preserve"> in terms of the</w:t>
      </w:r>
      <w:r w:rsidR="00E40E2F" w:rsidRPr="00943588">
        <w:rPr>
          <w:rFonts w:cstheme="minorHAnsi"/>
          <w:lang w:val="en-GB"/>
        </w:rPr>
        <w:t xml:space="preserve"> common </w:t>
      </w:r>
      <w:r w:rsidRPr="00943588">
        <w:rPr>
          <w:rFonts w:cstheme="minorHAnsi"/>
          <w:lang w:val="en-GB"/>
        </w:rPr>
        <w:t>law</w:t>
      </w:r>
      <w:r w:rsidR="0088576F" w:rsidRPr="00943588">
        <w:rPr>
          <w:rFonts w:cstheme="minorHAnsi"/>
          <w:lang w:val="en-GB"/>
        </w:rPr>
        <w:t>.</w:t>
      </w:r>
    </w:p>
    <w:p w14:paraId="6761CEA4" w14:textId="0840ED38" w:rsidR="00F17D67" w:rsidRPr="00943588" w:rsidRDefault="00B357FB" w:rsidP="00E40E2F">
      <w:pPr>
        <w:jc w:val="both"/>
        <w:rPr>
          <w:rFonts w:cstheme="minorHAnsi"/>
          <w:lang w:val="en-GB"/>
        </w:rPr>
      </w:pPr>
      <w:r w:rsidRPr="00943588">
        <w:rPr>
          <w:rFonts w:cstheme="minorHAnsi"/>
          <w:lang w:val="en-GB"/>
        </w:rPr>
        <w:t>T</w:t>
      </w:r>
      <w:r w:rsidR="00A272B6" w:rsidRPr="00943588">
        <w:rPr>
          <w:rFonts w:cstheme="minorHAnsi"/>
          <w:lang w:val="en-GB"/>
        </w:rPr>
        <w:t xml:space="preserve">he </w:t>
      </w:r>
      <w:r w:rsidR="00A272B6" w:rsidRPr="00943588">
        <w:rPr>
          <w:rFonts w:cstheme="minorHAnsi"/>
          <w:i/>
          <w:iCs/>
          <w:lang w:val="en-GB"/>
        </w:rPr>
        <w:t>Law Reform (Frustrated Contracts) Act, 1943</w:t>
      </w:r>
      <w:r w:rsidR="00A272B6" w:rsidRPr="00943588">
        <w:rPr>
          <w:rFonts w:cstheme="minorHAnsi"/>
          <w:lang w:val="en-GB"/>
        </w:rPr>
        <w:t xml:space="preserve"> </w:t>
      </w:r>
      <w:r w:rsidR="00353A4E" w:rsidRPr="00943588">
        <w:rPr>
          <w:rFonts w:cstheme="minorHAnsi"/>
          <w:lang w:val="en-GB"/>
        </w:rPr>
        <w:t>allows</w:t>
      </w:r>
      <w:r w:rsidR="003623F9" w:rsidRPr="00943588">
        <w:rPr>
          <w:rFonts w:cstheme="minorHAnsi"/>
          <w:lang w:val="en-GB"/>
        </w:rPr>
        <w:t>, in summary</w:t>
      </w:r>
      <w:r w:rsidR="00A83599" w:rsidRPr="00943588">
        <w:rPr>
          <w:rFonts w:cstheme="minorHAnsi"/>
          <w:lang w:val="en-GB"/>
        </w:rPr>
        <w:t>,</w:t>
      </w:r>
      <w:r w:rsidR="00353A4E" w:rsidRPr="00943588">
        <w:rPr>
          <w:rFonts w:cstheme="minorHAnsi"/>
          <w:lang w:val="en-GB"/>
        </w:rPr>
        <w:t xml:space="preserve"> for </w:t>
      </w:r>
      <w:r w:rsidR="00DD023B" w:rsidRPr="00943588">
        <w:rPr>
          <w:rFonts w:cstheme="minorHAnsi"/>
          <w:lang w:val="en-GB"/>
        </w:rPr>
        <w:t>the following remedies:</w:t>
      </w:r>
    </w:p>
    <w:p w14:paraId="66A82752" w14:textId="1A9ECC0B" w:rsidR="00DD023B" w:rsidRPr="00943588" w:rsidRDefault="00837082" w:rsidP="00DD023B">
      <w:pPr>
        <w:pStyle w:val="ListParagraph"/>
        <w:numPr>
          <w:ilvl w:val="0"/>
          <w:numId w:val="7"/>
        </w:numPr>
        <w:jc w:val="both"/>
        <w:rPr>
          <w:rFonts w:cstheme="minorHAnsi"/>
          <w:lang w:val="en-GB"/>
        </w:rPr>
      </w:pPr>
      <w:r w:rsidRPr="00943588">
        <w:rPr>
          <w:rFonts w:cstheme="minorHAnsi"/>
          <w:lang w:val="en-GB"/>
        </w:rPr>
        <w:t>Recovery of advance payments</w:t>
      </w:r>
      <w:r w:rsidR="00606E97" w:rsidRPr="00943588">
        <w:rPr>
          <w:rFonts w:cstheme="minorHAnsi"/>
          <w:lang w:val="en-GB"/>
        </w:rPr>
        <w:t xml:space="preserve"> (section 1(2))</w:t>
      </w:r>
      <w:r w:rsidRPr="00943588">
        <w:rPr>
          <w:rFonts w:cstheme="minorHAnsi"/>
          <w:lang w:val="en-GB"/>
        </w:rPr>
        <w:t>;</w:t>
      </w:r>
    </w:p>
    <w:p w14:paraId="10C546D6" w14:textId="34D7A791" w:rsidR="00AA04BE" w:rsidRPr="00943588" w:rsidRDefault="00E5445D" w:rsidP="00DD023B">
      <w:pPr>
        <w:pStyle w:val="ListParagraph"/>
        <w:numPr>
          <w:ilvl w:val="0"/>
          <w:numId w:val="7"/>
        </w:numPr>
        <w:jc w:val="both"/>
        <w:rPr>
          <w:rFonts w:cstheme="minorHAnsi"/>
          <w:lang w:val="en-GB"/>
        </w:rPr>
      </w:pPr>
      <w:r w:rsidRPr="00943588">
        <w:rPr>
          <w:rFonts w:cstheme="minorHAnsi"/>
          <w:lang w:val="en-GB"/>
        </w:rPr>
        <w:lastRenderedPageBreak/>
        <w:t>Set off</w:t>
      </w:r>
      <w:r w:rsidR="00453C77" w:rsidRPr="00943588">
        <w:rPr>
          <w:rFonts w:cstheme="minorHAnsi"/>
          <w:lang w:val="en-GB"/>
        </w:rPr>
        <w:t xml:space="preserve"> of </w:t>
      </w:r>
      <w:r w:rsidR="00AA04BE" w:rsidRPr="00943588">
        <w:rPr>
          <w:rFonts w:cstheme="minorHAnsi"/>
          <w:lang w:val="en-GB"/>
        </w:rPr>
        <w:t>expenses</w:t>
      </w:r>
      <w:r w:rsidR="00453C77" w:rsidRPr="00943588">
        <w:rPr>
          <w:rFonts w:cstheme="minorHAnsi"/>
          <w:lang w:val="en-GB"/>
        </w:rPr>
        <w:t xml:space="preserve"> incurred</w:t>
      </w:r>
      <w:r w:rsidR="00AA04BE" w:rsidRPr="00943588">
        <w:rPr>
          <w:rFonts w:cstheme="minorHAnsi"/>
          <w:lang w:val="en-GB"/>
        </w:rPr>
        <w:t xml:space="preserve"> in performing the contract</w:t>
      </w:r>
      <w:r w:rsidRPr="00943588">
        <w:rPr>
          <w:rFonts w:cstheme="minorHAnsi"/>
          <w:lang w:val="en-GB"/>
        </w:rPr>
        <w:t xml:space="preserve"> before discharge against monies paid in advance or recovery of those expenses from monies that are payable;</w:t>
      </w:r>
      <w:r w:rsidR="00AA04BE" w:rsidRPr="00943588">
        <w:rPr>
          <w:rFonts w:cstheme="minorHAnsi"/>
          <w:lang w:val="en-GB"/>
        </w:rPr>
        <w:t xml:space="preserve"> however</w:t>
      </w:r>
      <w:r w:rsidRPr="00943588">
        <w:rPr>
          <w:rFonts w:cstheme="minorHAnsi"/>
          <w:lang w:val="en-GB"/>
        </w:rPr>
        <w:t>,</w:t>
      </w:r>
      <w:r w:rsidR="00AA04BE" w:rsidRPr="00943588">
        <w:rPr>
          <w:rFonts w:cstheme="minorHAnsi"/>
          <w:lang w:val="en-GB"/>
        </w:rPr>
        <w:t xml:space="preserve"> this will only be possible in certain instances (section 1(2));</w:t>
      </w:r>
      <w:r w:rsidR="00DB2407" w:rsidRPr="00943588">
        <w:rPr>
          <w:rFonts w:cstheme="minorHAnsi"/>
          <w:lang w:val="en-GB"/>
        </w:rPr>
        <w:t xml:space="preserve"> and</w:t>
      </w:r>
    </w:p>
    <w:p w14:paraId="2844033E" w14:textId="4B966858" w:rsidR="00837082" w:rsidRPr="00943588" w:rsidRDefault="00453C77" w:rsidP="00AA04BE">
      <w:pPr>
        <w:pStyle w:val="ListParagraph"/>
        <w:numPr>
          <w:ilvl w:val="0"/>
          <w:numId w:val="7"/>
        </w:numPr>
        <w:jc w:val="both"/>
        <w:rPr>
          <w:rFonts w:cstheme="minorHAnsi"/>
          <w:lang w:val="en-GB"/>
        </w:rPr>
      </w:pPr>
      <w:r w:rsidRPr="00943588">
        <w:rPr>
          <w:rFonts w:cstheme="minorHAnsi"/>
          <w:lang w:val="en-GB"/>
        </w:rPr>
        <w:t>Recovery of non</w:t>
      </w:r>
      <w:r w:rsidR="00AA04BE" w:rsidRPr="00943588">
        <w:rPr>
          <w:rFonts w:cstheme="minorHAnsi"/>
          <w:lang w:val="en-GB"/>
        </w:rPr>
        <w:t>-</w:t>
      </w:r>
      <w:r w:rsidRPr="00943588">
        <w:rPr>
          <w:rFonts w:cstheme="minorHAnsi"/>
          <w:lang w:val="en-GB"/>
        </w:rPr>
        <w:t>mone</w:t>
      </w:r>
      <w:r w:rsidR="00ED0407" w:rsidRPr="00943588">
        <w:rPr>
          <w:rFonts w:cstheme="minorHAnsi"/>
          <w:lang w:val="en-GB"/>
        </w:rPr>
        <w:t>tary</w:t>
      </w:r>
      <w:r w:rsidR="00AA04BE" w:rsidRPr="00943588">
        <w:rPr>
          <w:rFonts w:cstheme="minorHAnsi"/>
          <w:lang w:val="en-GB"/>
        </w:rPr>
        <w:t xml:space="preserve"> </w:t>
      </w:r>
      <w:r w:rsidRPr="00943588">
        <w:rPr>
          <w:rFonts w:cstheme="minorHAnsi"/>
          <w:lang w:val="en-GB"/>
        </w:rPr>
        <w:t>benefits</w:t>
      </w:r>
      <w:r w:rsidR="00AA04BE" w:rsidRPr="00943588">
        <w:rPr>
          <w:rFonts w:cstheme="minorHAnsi"/>
          <w:lang w:val="en-GB"/>
        </w:rPr>
        <w:t xml:space="preserve"> (section 1(3))</w:t>
      </w:r>
      <w:r w:rsidR="00DB2407" w:rsidRPr="00943588">
        <w:rPr>
          <w:rFonts w:cstheme="minorHAnsi"/>
          <w:lang w:val="en-GB"/>
        </w:rPr>
        <w:t>.</w:t>
      </w:r>
    </w:p>
    <w:p w14:paraId="0ABE50E4" w14:textId="3CDFA6DB" w:rsidR="0034109E" w:rsidRPr="00943588" w:rsidRDefault="00A83599" w:rsidP="00E40E2F">
      <w:pPr>
        <w:jc w:val="both"/>
        <w:rPr>
          <w:rFonts w:cstheme="minorHAnsi"/>
          <w:lang w:val="en-GB"/>
        </w:rPr>
      </w:pPr>
      <w:r w:rsidRPr="00943588">
        <w:rPr>
          <w:rFonts w:cstheme="minorHAnsi"/>
          <w:lang w:val="en-GB"/>
        </w:rPr>
        <w:t xml:space="preserve">The </w:t>
      </w:r>
      <w:r w:rsidRPr="00943588">
        <w:rPr>
          <w:rFonts w:cstheme="minorHAnsi"/>
          <w:i/>
          <w:iCs/>
          <w:lang w:val="en-GB"/>
        </w:rPr>
        <w:t xml:space="preserve">Law Reform (Frustrated Contracts) Act, 1943 </w:t>
      </w:r>
      <w:r w:rsidRPr="00943588">
        <w:rPr>
          <w:rFonts w:cstheme="minorHAnsi"/>
          <w:lang w:val="en-GB"/>
        </w:rPr>
        <w:t>was</w:t>
      </w:r>
      <w:r w:rsidRPr="00943588">
        <w:rPr>
          <w:rFonts w:cstheme="minorHAnsi"/>
          <w:i/>
          <w:iCs/>
          <w:lang w:val="en-GB"/>
        </w:rPr>
        <w:t xml:space="preserve"> </w:t>
      </w:r>
      <w:r w:rsidRPr="00943588">
        <w:rPr>
          <w:rFonts w:cstheme="minorHAnsi"/>
          <w:lang w:val="en-GB"/>
        </w:rPr>
        <w:t xml:space="preserve">drafted to cater for defects in the common law and would therefore be the </w:t>
      </w:r>
      <w:r w:rsidR="00DE22D5" w:rsidRPr="00943588">
        <w:rPr>
          <w:rFonts w:cstheme="minorHAnsi"/>
          <w:lang w:val="en-GB"/>
        </w:rPr>
        <w:t xml:space="preserve">first </w:t>
      </w:r>
      <w:r w:rsidR="00DA5AD3" w:rsidRPr="00943588">
        <w:rPr>
          <w:rFonts w:cstheme="minorHAnsi"/>
          <w:lang w:val="en-GB"/>
        </w:rPr>
        <w:t>point to consider when looking for redress. If it is not applicable, then the common</w:t>
      </w:r>
      <w:r w:rsidR="00D07B1B" w:rsidRPr="00943588">
        <w:rPr>
          <w:rFonts w:cstheme="minorHAnsi"/>
          <w:lang w:val="en-GB"/>
        </w:rPr>
        <w:t xml:space="preserve"> law remed</w:t>
      </w:r>
      <w:r w:rsidR="00ED0407" w:rsidRPr="00943588">
        <w:rPr>
          <w:rFonts w:cstheme="minorHAnsi"/>
          <w:lang w:val="en-GB"/>
        </w:rPr>
        <w:t>y</w:t>
      </w:r>
      <w:r w:rsidR="00D07B1B" w:rsidRPr="00943588">
        <w:rPr>
          <w:rFonts w:cstheme="minorHAnsi"/>
          <w:lang w:val="en-GB"/>
        </w:rPr>
        <w:t xml:space="preserve"> </w:t>
      </w:r>
      <w:r w:rsidR="004964DC" w:rsidRPr="00943588">
        <w:rPr>
          <w:rFonts w:cstheme="minorHAnsi"/>
          <w:lang w:val="en-GB"/>
        </w:rPr>
        <w:t>would be</w:t>
      </w:r>
      <w:r w:rsidR="00A67A6B" w:rsidRPr="00943588">
        <w:rPr>
          <w:rFonts w:cstheme="minorHAnsi"/>
          <w:lang w:val="en-GB"/>
        </w:rPr>
        <w:t xml:space="preserve"> a claim for unjust </w:t>
      </w:r>
      <w:r w:rsidR="00277EB2" w:rsidRPr="00943588">
        <w:rPr>
          <w:rFonts w:cstheme="minorHAnsi"/>
          <w:lang w:val="en-GB"/>
        </w:rPr>
        <w:t>enrichment, likely a total failure of consideration.</w:t>
      </w:r>
      <w:r w:rsidR="00BE515A" w:rsidRPr="00943588">
        <w:rPr>
          <w:rStyle w:val="FootnoteReference"/>
          <w:rFonts w:cstheme="minorHAnsi"/>
          <w:lang w:val="en-GB"/>
        </w:rPr>
        <w:footnoteReference w:id="16"/>
      </w:r>
      <w:r w:rsidR="00277EB2" w:rsidRPr="00943588">
        <w:rPr>
          <w:rFonts w:cstheme="minorHAnsi"/>
          <w:lang w:val="en-GB"/>
        </w:rPr>
        <w:t xml:space="preserve"> </w:t>
      </w:r>
      <w:r w:rsidR="000A0D3C" w:rsidRPr="00943588">
        <w:rPr>
          <w:rFonts w:cstheme="minorHAnsi"/>
          <w:lang w:val="en-GB"/>
        </w:rPr>
        <w:t>However, the difficulty in this regard is that a partial failure of consideration would not give rise to a right of recovery.</w:t>
      </w:r>
      <w:r w:rsidR="00862EF2" w:rsidRPr="00943588">
        <w:rPr>
          <w:rStyle w:val="FootnoteReference"/>
          <w:rFonts w:cstheme="minorHAnsi"/>
          <w:lang w:val="en-GB"/>
        </w:rPr>
        <w:t xml:space="preserve"> </w:t>
      </w:r>
      <w:r w:rsidR="00862EF2" w:rsidRPr="00943588">
        <w:rPr>
          <w:rStyle w:val="FootnoteReference"/>
          <w:rFonts w:cstheme="minorHAnsi"/>
          <w:lang w:val="en-GB"/>
        </w:rPr>
        <w:footnoteReference w:id="17"/>
      </w:r>
      <w:r w:rsidR="00CE3F1B" w:rsidRPr="00943588">
        <w:rPr>
          <w:rFonts w:cstheme="minorHAnsi"/>
          <w:lang w:val="en-GB"/>
        </w:rPr>
        <w:t xml:space="preserve"> Therefore </w:t>
      </w:r>
      <w:r w:rsidR="00FD4D6F" w:rsidRPr="00943588">
        <w:rPr>
          <w:rFonts w:cstheme="minorHAnsi"/>
          <w:lang w:val="en-GB"/>
        </w:rPr>
        <w:t>parties would</w:t>
      </w:r>
      <w:r w:rsidR="00330B12" w:rsidRPr="00943588">
        <w:rPr>
          <w:rFonts w:cstheme="minorHAnsi"/>
          <w:lang w:val="en-GB"/>
        </w:rPr>
        <w:t xml:space="preserve">, for example, </w:t>
      </w:r>
      <w:r w:rsidR="00FD4D6F" w:rsidRPr="00943588">
        <w:rPr>
          <w:rFonts w:cstheme="minorHAnsi"/>
          <w:lang w:val="en-GB"/>
        </w:rPr>
        <w:t xml:space="preserve">not be able to recover pre-payments </w:t>
      </w:r>
      <w:r w:rsidR="00E60AA5" w:rsidRPr="00943588">
        <w:rPr>
          <w:rFonts w:cstheme="minorHAnsi"/>
          <w:lang w:val="en-GB"/>
        </w:rPr>
        <w:t xml:space="preserve">made before </w:t>
      </w:r>
      <w:r w:rsidR="00A52EF6" w:rsidRPr="00943588">
        <w:rPr>
          <w:rFonts w:cstheme="minorHAnsi"/>
          <w:lang w:val="en-GB"/>
        </w:rPr>
        <w:t>the frustrating event.</w:t>
      </w:r>
      <w:r w:rsidR="00FD4D6F" w:rsidRPr="00943588">
        <w:rPr>
          <w:rFonts w:cstheme="minorHAnsi"/>
          <w:lang w:val="en-GB"/>
        </w:rPr>
        <w:t xml:space="preserve"> </w:t>
      </w:r>
    </w:p>
    <w:p w14:paraId="4E7BA55D" w14:textId="5EA557C9" w:rsidR="00E64E6C" w:rsidRPr="00943588" w:rsidRDefault="00E64E6C" w:rsidP="00E40E2F">
      <w:pPr>
        <w:jc w:val="both"/>
        <w:rPr>
          <w:rFonts w:cstheme="minorHAnsi"/>
          <w:b/>
          <w:bCs/>
          <w:u w:val="single"/>
          <w:lang w:val="en-GB"/>
        </w:rPr>
      </w:pPr>
      <w:r w:rsidRPr="00943588">
        <w:rPr>
          <w:rFonts w:cstheme="minorHAnsi"/>
          <w:b/>
          <w:bCs/>
          <w:u w:val="single"/>
          <w:lang w:val="en-GB"/>
        </w:rPr>
        <w:t>Analysis</w:t>
      </w:r>
    </w:p>
    <w:p w14:paraId="4D5D4E26" w14:textId="70A22782" w:rsidR="00E64E6C" w:rsidRPr="00943588" w:rsidRDefault="00E64E6C" w:rsidP="00E40E2F">
      <w:pPr>
        <w:jc w:val="both"/>
        <w:rPr>
          <w:rFonts w:cstheme="minorHAnsi"/>
          <w:lang w:val="en-GB"/>
        </w:rPr>
      </w:pPr>
      <w:r w:rsidRPr="00943588">
        <w:rPr>
          <w:rFonts w:cstheme="minorHAnsi"/>
          <w:lang w:val="en-GB"/>
        </w:rPr>
        <w:t xml:space="preserve">We would suggest that the cancellation of sporting events is likely to be a matter addressed in well drafted contracts in terms of an FM or MAC. </w:t>
      </w:r>
      <w:r w:rsidR="00545576" w:rsidRPr="00943588">
        <w:rPr>
          <w:rFonts w:cstheme="minorHAnsi"/>
          <w:lang w:val="en-GB"/>
        </w:rPr>
        <w:t xml:space="preserve">Should that </w:t>
      </w:r>
      <w:r w:rsidRPr="00943588">
        <w:rPr>
          <w:rFonts w:cstheme="minorHAnsi"/>
          <w:lang w:val="en-GB"/>
        </w:rPr>
        <w:t xml:space="preserve">not </w:t>
      </w:r>
      <w:r w:rsidR="00545576" w:rsidRPr="00943588">
        <w:rPr>
          <w:rFonts w:cstheme="minorHAnsi"/>
          <w:lang w:val="en-GB"/>
        </w:rPr>
        <w:t xml:space="preserve">be </w:t>
      </w:r>
      <w:r w:rsidRPr="00943588">
        <w:rPr>
          <w:rFonts w:cstheme="minorHAnsi"/>
          <w:lang w:val="en-GB"/>
        </w:rPr>
        <w:t xml:space="preserve">so it appears that the cancellation of the event (as in the case of Wimbledon) is one where the doctrine of frustration is likely to be the subject of </w:t>
      </w:r>
      <w:r w:rsidR="001C7A5C" w:rsidRPr="00943588">
        <w:rPr>
          <w:rFonts w:cstheme="minorHAnsi"/>
          <w:lang w:val="en-GB"/>
        </w:rPr>
        <w:t xml:space="preserve">successful </w:t>
      </w:r>
      <w:r w:rsidRPr="00943588">
        <w:rPr>
          <w:rFonts w:cstheme="minorHAnsi"/>
          <w:lang w:val="en-GB"/>
        </w:rPr>
        <w:t xml:space="preserve">reliance. The consequences of </w:t>
      </w:r>
      <w:r w:rsidR="001C7A5C" w:rsidRPr="00943588">
        <w:rPr>
          <w:rFonts w:cstheme="minorHAnsi"/>
          <w:lang w:val="en-GB"/>
        </w:rPr>
        <w:t xml:space="preserve">such frustration </w:t>
      </w:r>
      <w:r w:rsidRPr="00943588">
        <w:rPr>
          <w:rFonts w:cstheme="minorHAnsi"/>
          <w:lang w:val="en-GB"/>
        </w:rPr>
        <w:t>are likely to governed by the statutory provisions discussed abov</w:t>
      </w:r>
      <w:r w:rsidR="008A123B" w:rsidRPr="00943588">
        <w:rPr>
          <w:rFonts w:cstheme="minorHAnsi"/>
          <w:lang w:val="en-GB"/>
        </w:rPr>
        <w:t>e and may well involve the recovery of advance payments.</w:t>
      </w:r>
    </w:p>
    <w:p w14:paraId="0825955C" w14:textId="2AB044CA" w:rsidR="00E64E6C" w:rsidRPr="00943588" w:rsidRDefault="00545576" w:rsidP="00E40E2F">
      <w:pPr>
        <w:jc w:val="both"/>
        <w:rPr>
          <w:rFonts w:cstheme="minorHAnsi"/>
          <w:lang w:val="en-GB"/>
        </w:rPr>
      </w:pPr>
      <w:r w:rsidRPr="00943588">
        <w:rPr>
          <w:rFonts w:cstheme="minorHAnsi"/>
          <w:lang w:val="en-GB"/>
        </w:rPr>
        <w:t>Delay of events (as in e.g. the Olympics) involves more nuanced consideration. It is suggested that this is an eventuality less likely to be governed by the terms of an FM or MAC. In such circumstances t</w:t>
      </w:r>
      <w:r w:rsidR="00E64E6C" w:rsidRPr="00943588">
        <w:rPr>
          <w:rFonts w:cstheme="minorHAnsi"/>
          <w:lang w:val="en-GB"/>
        </w:rPr>
        <w:t xml:space="preserve">he guidance to parties </w:t>
      </w:r>
      <w:r w:rsidRPr="00943588">
        <w:rPr>
          <w:rFonts w:cstheme="minorHAnsi"/>
          <w:lang w:val="en-GB"/>
        </w:rPr>
        <w:t>which we proffer is</w:t>
      </w:r>
      <w:r w:rsidR="00E64E6C" w:rsidRPr="00943588">
        <w:rPr>
          <w:rFonts w:cstheme="minorHAnsi"/>
          <w:lang w:val="en-GB"/>
        </w:rPr>
        <w:t>:</w:t>
      </w:r>
    </w:p>
    <w:p w14:paraId="4EB974E5" w14:textId="6C6E70D0" w:rsidR="00E64E6C" w:rsidRPr="00943588" w:rsidRDefault="00E64E6C" w:rsidP="00E64E6C">
      <w:pPr>
        <w:pStyle w:val="ListParagraph"/>
        <w:numPr>
          <w:ilvl w:val="0"/>
          <w:numId w:val="4"/>
        </w:numPr>
        <w:jc w:val="both"/>
        <w:rPr>
          <w:rFonts w:cstheme="minorHAnsi"/>
          <w:lang w:val="en-GB"/>
        </w:rPr>
      </w:pPr>
      <w:r w:rsidRPr="00943588">
        <w:rPr>
          <w:rFonts w:cstheme="minorHAnsi"/>
          <w:lang w:val="en-GB"/>
        </w:rPr>
        <w:t>Begin with an analysis of the relevant contract. For what precisely have the parties contracted?</w:t>
      </w:r>
    </w:p>
    <w:p w14:paraId="63EABF97" w14:textId="1405083B" w:rsidR="00545576" w:rsidRPr="00943588" w:rsidRDefault="00545576" w:rsidP="00E64E6C">
      <w:pPr>
        <w:pStyle w:val="ListParagraph"/>
        <w:numPr>
          <w:ilvl w:val="0"/>
          <w:numId w:val="4"/>
        </w:numPr>
        <w:jc w:val="both"/>
        <w:rPr>
          <w:rFonts w:cstheme="minorHAnsi"/>
          <w:lang w:val="en-GB"/>
        </w:rPr>
      </w:pPr>
      <w:r w:rsidRPr="00943588">
        <w:rPr>
          <w:rFonts w:cstheme="minorHAnsi"/>
          <w:lang w:val="en-GB"/>
        </w:rPr>
        <w:t>What is the factual matrix and context of the contract?</w:t>
      </w:r>
    </w:p>
    <w:p w14:paraId="201977A2" w14:textId="4C443FD3" w:rsidR="00545576" w:rsidRPr="00943588" w:rsidRDefault="00545576" w:rsidP="00E64E6C">
      <w:pPr>
        <w:pStyle w:val="ListParagraph"/>
        <w:numPr>
          <w:ilvl w:val="0"/>
          <w:numId w:val="4"/>
        </w:numPr>
        <w:jc w:val="both"/>
        <w:rPr>
          <w:rFonts w:cstheme="minorHAnsi"/>
          <w:lang w:val="en-GB"/>
        </w:rPr>
      </w:pPr>
      <w:r w:rsidRPr="00943588">
        <w:rPr>
          <w:rFonts w:cstheme="minorHAnsi"/>
          <w:lang w:val="en-GB"/>
        </w:rPr>
        <w:t>What are the parties’ knowledge, expectations, assumptions and contemplations, in particular as to risk, as regards the obligation?</w:t>
      </w:r>
    </w:p>
    <w:p w14:paraId="3F6F2AC9" w14:textId="6E632424" w:rsidR="00E64E6C" w:rsidRPr="00943588" w:rsidRDefault="00545576" w:rsidP="00E64E6C">
      <w:pPr>
        <w:pStyle w:val="ListParagraph"/>
        <w:numPr>
          <w:ilvl w:val="0"/>
          <w:numId w:val="4"/>
        </w:numPr>
        <w:jc w:val="both"/>
        <w:rPr>
          <w:rFonts w:cstheme="minorHAnsi"/>
          <w:lang w:val="en-GB"/>
        </w:rPr>
      </w:pPr>
      <w:r w:rsidRPr="00943588">
        <w:rPr>
          <w:rFonts w:cstheme="minorHAnsi"/>
          <w:lang w:val="en-GB"/>
        </w:rPr>
        <w:t>What is the importance of timing to the performance of the obligations under the contract?</w:t>
      </w:r>
    </w:p>
    <w:p w14:paraId="19DC1E5F" w14:textId="3A807116" w:rsidR="00545576" w:rsidRPr="00943588" w:rsidRDefault="00545576" w:rsidP="00E64E6C">
      <w:pPr>
        <w:pStyle w:val="ListParagraph"/>
        <w:numPr>
          <w:ilvl w:val="0"/>
          <w:numId w:val="4"/>
        </w:numPr>
        <w:jc w:val="both"/>
        <w:rPr>
          <w:rFonts w:cstheme="minorHAnsi"/>
          <w:lang w:val="en-GB"/>
        </w:rPr>
      </w:pPr>
      <w:r w:rsidRPr="00943588">
        <w:rPr>
          <w:rFonts w:cstheme="minorHAnsi"/>
          <w:lang w:val="en-GB"/>
        </w:rPr>
        <w:t>Does a delay materially alter the nature of the relevant obligation and, if so, why?</w:t>
      </w:r>
    </w:p>
    <w:p w14:paraId="2DCA7B4A" w14:textId="6846013A" w:rsidR="00E64E6C" w:rsidRPr="00943588" w:rsidRDefault="00545576" w:rsidP="003548E4">
      <w:pPr>
        <w:pStyle w:val="ListParagraph"/>
        <w:numPr>
          <w:ilvl w:val="0"/>
          <w:numId w:val="4"/>
        </w:numPr>
        <w:rPr>
          <w:rFonts w:cstheme="minorHAnsi"/>
          <w:lang w:val="en-GB"/>
        </w:rPr>
      </w:pPr>
      <w:r w:rsidRPr="00943588">
        <w:rPr>
          <w:rFonts w:cstheme="minorHAnsi"/>
          <w:lang w:val="en-GB"/>
        </w:rPr>
        <w:t>What is the effect of the delay on the parties’ reasonable and</w:t>
      </w:r>
      <w:r w:rsidR="003548E4" w:rsidRPr="00943588">
        <w:rPr>
          <w:rFonts w:cstheme="minorHAnsi"/>
          <w:lang w:val="en-GB"/>
        </w:rPr>
        <w:t xml:space="preserve"> </w:t>
      </w:r>
      <w:r w:rsidRPr="00943588">
        <w:rPr>
          <w:rFonts w:cstheme="minorHAnsi"/>
          <w:lang w:val="en-GB"/>
        </w:rPr>
        <w:t xml:space="preserve">objectively </w:t>
      </w:r>
      <w:r w:rsidR="003548E4" w:rsidRPr="00943588">
        <w:rPr>
          <w:rFonts w:cstheme="minorHAnsi"/>
          <w:lang w:val="en-GB"/>
        </w:rPr>
        <w:t>a</w:t>
      </w:r>
      <w:r w:rsidRPr="00943588">
        <w:rPr>
          <w:rFonts w:cstheme="minorHAnsi"/>
          <w:lang w:val="en-GB"/>
        </w:rPr>
        <w:t>scertainable calculations as to the possibilities of future performance in the new circumstances?</w:t>
      </w:r>
    </w:p>
    <w:p w14:paraId="36C59BC8" w14:textId="15F74523" w:rsidR="00545576" w:rsidRPr="00943588" w:rsidRDefault="00545576" w:rsidP="00E64E6C">
      <w:pPr>
        <w:pStyle w:val="ListParagraph"/>
        <w:numPr>
          <w:ilvl w:val="0"/>
          <w:numId w:val="4"/>
        </w:numPr>
        <w:jc w:val="both"/>
        <w:rPr>
          <w:rFonts w:cstheme="minorHAnsi"/>
          <w:lang w:val="en-GB"/>
        </w:rPr>
      </w:pPr>
      <w:r w:rsidRPr="00943588">
        <w:rPr>
          <w:rFonts w:cstheme="minorHAnsi"/>
          <w:lang w:val="en-GB"/>
        </w:rPr>
        <w:t>Bar expense, delay and increased onerousness is there any impact on the performance of the relevant obligation?</w:t>
      </w:r>
    </w:p>
    <w:p w14:paraId="4A240C2F" w14:textId="474BBDA4" w:rsidR="00545576" w:rsidRPr="00943588" w:rsidRDefault="00545576" w:rsidP="00E64E6C">
      <w:pPr>
        <w:pStyle w:val="ListParagraph"/>
        <w:numPr>
          <w:ilvl w:val="0"/>
          <w:numId w:val="4"/>
        </w:numPr>
        <w:jc w:val="both"/>
        <w:rPr>
          <w:rFonts w:cstheme="minorHAnsi"/>
          <w:lang w:val="en-GB"/>
        </w:rPr>
      </w:pPr>
      <w:r w:rsidRPr="00943588">
        <w:rPr>
          <w:rFonts w:cstheme="minorHAnsi"/>
          <w:lang w:val="en-GB"/>
        </w:rPr>
        <w:t>Is the extent of the delay so severe that it goes beyond that which the parties reasonably co</w:t>
      </w:r>
      <w:r w:rsidR="003548E4" w:rsidRPr="00943588">
        <w:rPr>
          <w:rFonts w:cstheme="minorHAnsi"/>
          <w:lang w:val="en-GB"/>
        </w:rPr>
        <w:t>n</w:t>
      </w:r>
      <w:r w:rsidRPr="00943588">
        <w:rPr>
          <w:rFonts w:cstheme="minorHAnsi"/>
          <w:lang w:val="en-GB"/>
        </w:rPr>
        <w:t>templated?</w:t>
      </w:r>
    </w:p>
    <w:p w14:paraId="3FB728A0" w14:textId="17D2A69E" w:rsidR="003548E4" w:rsidRPr="00943588" w:rsidRDefault="003548E4" w:rsidP="003548E4">
      <w:pPr>
        <w:jc w:val="both"/>
        <w:rPr>
          <w:rFonts w:cstheme="minorHAnsi"/>
          <w:lang w:val="en-GB"/>
        </w:rPr>
      </w:pPr>
      <w:r w:rsidRPr="00943588">
        <w:rPr>
          <w:rFonts w:cstheme="minorHAnsi"/>
          <w:lang w:val="en-GB"/>
        </w:rPr>
        <w:t>Consideration of the above will inform the question of whether the performance of the obligation is radically different such that the defaulting party is relieved of their obligations of ongoing performance post the frustrating event</w:t>
      </w:r>
      <w:r w:rsidR="008A123B" w:rsidRPr="00943588">
        <w:rPr>
          <w:rFonts w:cstheme="minorHAnsi"/>
          <w:lang w:val="en-GB"/>
        </w:rPr>
        <w:t xml:space="preserve"> and may allow the statutory remedy of the recovery of prior payments.</w:t>
      </w:r>
    </w:p>
    <w:p w14:paraId="2164E658" w14:textId="64163F39" w:rsidR="003548E4" w:rsidRPr="00943588" w:rsidRDefault="003548E4" w:rsidP="003548E4">
      <w:pPr>
        <w:jc w:val="both"/>
        <w:rPr>
          <w:rFonts w:cstheme="minorHAnsi"/>
          <w:lang w:val="en-GB"/>
        </w:rPr>
      </w:pPr>
      <w:r w:rsidRPr="00943588">
        <w:rPr>
          <w:rFonts w:cstheme="minorHAnsi"/>
          <w:b/>
          <w:bCs/>
          <w:i/>
          <w:iCs/>
          <w:lang w:val="en-GB"/>
        </w:rPr>
        <w:t xml:space="preserve">Nicholas Siddall QC </w:t>
      </w:r>
      <w:r w:rsidRPr="00943588">
        <w:rPr>
          <w:rFonts w:cstheme="minorHAnsi"/>
          <w:lang w:val="en-GB"/>
        </w:rPr>
        <w:t>is a specialist sports law practitioner and is listed in the Legal 500 2020 in this regard. He accepts instructions in all facets of sports’ law litigation.</w:t>
      </w:r>
    </w:p>
    <w:p w14:paraId="67C9E340" w14:textId="44845ED9" w:rsidR="003548E4" w:rsidRPr="00943588" w:rsidRDefault="003548E4" w:rsidP="003548E4">
      <w:pPr>
        <w:jc w:val="both"/>
        <w:rPr>
          <w:rFonts w:cstheme="minorHAnsi"/>
          <w:lang w:val="en-GB"/>
        </w:rPr>
      </w:pPr>
      <w:r w:rsidRPr="00943588">
        <w:rPr>
          <w:rFonts w:cstheme="minorHAnsi"/>
          <w:b/>
          <w:bCs/>
          <w:i/>
          <w:iCs/>
          <w:lang w:val="en-GB"/>
        </w:rPr>
        <w:t xml:space="preserve">Bianca Balmelli </w:t>
      </w:r>
      <w:r w:rsidR="008F5F84" w:rsidRPr="00943588">
        <w:rPr>
          <w:rFonts w:cstheme="minorHAnsi"/>
          <w:lang w:val="en-GB"/>
        </w:rPr>
        <w:t>has a developing sports law</w:t>
      </w:r>
      <w:r w:rsidR="00834F55" w:rsidRPr="00943588">
        <w:rPr>
          <w:rFonts w:cstheme="minorHAnsi"/>
          <w:lang w:val="en-GB"/>
        </w:rPr>
        <w:t xml:space="preserve"> </w:t>
      </w:r>
      <w:r w:rsidR="003A307C" w:rsidRPr="00943588">
        <w:rPr>
          <w:rFonts w:cstheme="minorHAnsi"/>
          <w:lang w:val="en-GB"/>
        </w:rPr>
        <w:t xml:space="preserve">practice </w:t>
      </w:r>
      <w:r w:rsidR="00834F55" w:rsidRPr="00943588">
        <w:rPr>
          <w:rFonts w:cstheme="minorHAnsi"/>
          <w:lang w:val="en-GB"/>
        </w:rPr>
        <w:t>and welcomes instructions in</w:t>
      </w:r>
      <w:r w:rsidR="00A20312" w:rsidRPr="00943588">
        <w:rPr>
          <w:rFonts w:cstheme="minorHAnsi"/>
          <w:lang w:val="en-GB"/>
        </w:rPr>
        <w:t xml:space="preserve"> all areas of</w:t>
      </w:r>
      <w:r w:rsidR="00834F55" w:rsidRPr="00943588">
        <w:rPr>
          <w:rFonts w:cstheme="minorHAnsi"/>
          <w:lang w:val="en-GB"/>
        </w:rPr>
        <w:t xml:space="preserve"> sports law</w:t>
      </w:r>
      <w:r w:rsidR="00834F55" w:rsidRPr="00943588" w:rsidDel="008F5F84">
        <w:rPr>
          <w:rFonts w:cstheme="minorHAnsi"/>
          <w:lang w:val="en-GB"/>
        </w:rPr>
        <w:t xml:space="preserve"> </w:t>
      </w:r>
      <w:r w:rsidR="00A20312" w:rsidRPr="00943588">
        <w:rPr>
          <w:rFonts w:cstheme="minorHAnsi"/>
          <w:lang w:val="en-GB"/>
        </w:rPr>
        <w:t>litigation.</w:t>
      </w:r>
    </w:p>
    <w:sectPr w:rsidR="003548E4" w:rsidRPr="00943588" w:rsidSect="009031F9">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5652" w14:textId="77777777" w:rsidR="00514F36" w:rsidRDefault="00514F36" w:rsidP="000D2288">
      <w:pPr>
        <w:spacing w:after="0" w:line="240" w:lineRule="auto"/>
      </w:pPr>
      <w:r>
        <w:separator/>
      </w:r>
    </w:p>
  </w:endnote>
  <w:endnote w:type="continuationSeparator" w:id="0">
    <w:p w14:paraId="0AA84D2B" w14:textId="77777777" w:rsidR="00514F36" w:rsidRDefault="00514F36" w:rsidP="000D2288">
      <w:pPr>
        <w:spacing w:after="0" w:line="240" w:lineRule="auto"/>
      </w:pPr>
      <w:r>
        <w:continuationSeparator/>
      </w:r>
    </w:p>
  </w:endnote>
  <w:endnote w:type="continuationNotice" w:id="1">
    <w:p w14:paraId="5A01FC71" w14:textId="77777777" w:rsidR="00514F36" w:rsidRDefault="00514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0789" w14:textId="77777777" w:rsidR="008F50DD" w:rsidRDefault="008F50DD" w:rsidP="0094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222E" w14:textId="77777777" w:rsidR="00514F36" w:rsidRDefault="00514F36" w:rsidP="000D2288">
      <w:pPr>
        <w:spacing w:after="0" w:line="240" w:lineRule="auto"/>
      </w:pPr>
      <w:r>
        <w:separator/>
      </w:r>
    </w:p>
  </w:footnote>
  <w:footnote w:type="continuationSeparator" w:id="0">
    <w:p w14:paraId="330CF67B" w14:textId="77777777" w:rsidR="00514F36" w:rsidRDefault="00514F36" w:rsidP="000D2288">
      <w:pPr>
        <w:spacing w:after="0" w:line="240" w:lineRule="auto"/>
      </w:pPr>
      <w:r>
        <w:continuationSeparator/>
      </w:r>
    </w:p>
  </w:footnote>
  <w:footnote w:type="continuationNotice" w:id="1">
    <w:p w14:paraId="49C2C252" w14:textId="77777777" w:rsidR="00514F36" w:rsidRDefault="00514F36">
      <w:pPr>
        <w:spacing w:after="0" w:line="240" w:lineRule="auto"/>
      </w:pPr>
    </w:p>
  </w:footnote>
  <w:footnote w:id="2">
    <w:p w14:paraId="4DBECC36" w14:textId="3856FCDD" w:rsidR="00E31C26" w:rsidRPr="00E44EF4" w:rsidRDefault="00E31C26" w:rsidP="00943588">
      <w:pPr>
        <w:pStyle w:val="FootnoteText"/>
        <w:jc w:val="both"/>
        <w:rPr>
          <w:rFonts w:cstheme="minorHAnsi"/>
          <w:i/>
          <w:color w:val="000000" w:themeColor="text1"/>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 w:history="1">
        <w:r w:rsidR="00FD3C26" w:rsidRPr="00E44EF4">
          <w:rPr>
            <w:rStyle w:val="Hyperlink"/>
            <w:rFonts w:cstheme="minorHAnsi"/>
            <w:i/>
            <w:iCs/>
            <w:color w:val="000000" w:themeColor="text1"/>
          </w:rPr>
          <w:t xml:space="preserve">Mamidoil-Jetoil Greek Petroleum Co SA v Okta Crude Oil Refinery AD </w:t>
        </w:r>
        <w:r w:rsidR="00154893" w:rsidRPr="00E44EF4">
          <w:rPr>
            <w:rStyle w:val="Hyperlink"/>
            <w:rFonts w:cstheme="minorHAnsi"/>
            <w:i/>
            <w:iCs/>
            <w:color w:val="000000" w:themeColor="text1"/>
          </w:rPr>
          <w:t xml:space="preserve">(No. 3) </w:t>
        </w:r>
        <w:r w:rsidR="00FF3F1F" w:rsidRPr="00E44EF4">
          <w:rPr>
            <w:rStyle w:val="Hyperlink"/>
            <w:rFonts w:cstheme="minorHAnsi"/>
            <w:i/>
            <w:iCs/>
            <w:color w:val="000000" w:themeColor="text1"/>
          </w:rPr>
          <w:t>[2002] EWHC 2210(Comm)</w:t>
        </w:r>
      </w:hyperlink>
      <w:r w:rsidR="00FF3F1F" w:rsidRPr="00E44EF4">
        <w:rPr>
          <w:rFonts w:cstheme="minorHAnsi"/>
          <w:color w:val="000000" w:themeColor="text1"/>
        </w:rPr>
        <w:t xml:space="preserve"> </w:t>
      </w:r>
      <w:r w:rsidR="00FD3C26" w:rsidRPr="00E44EF4">
        <w:rPr>
          <w:rFonts w:cstheme="minorHAnsi"/>
          <w:color w:val="000000" w:themeColor="text1"/>
        </w:rPr>
        <w:t>at [5</w:t>
      </w:r>
      <w:r w:rsidR="009E35A5" w:rsidRPr="00E44EF4">
        <w:rPr>
          <w:rFonts w:cstheme="minorHAnsi"/>
          <w:color w:val="000000" w:themeColor="text1"/>
        </w:rPr>
        <w:t>3</w:t>
      </w:r>
      <w:r w:rsidR="00FD3C26" w:rsidRPr="00E44EF4">
        <w:rPr>
          <w:rFonts w:cstheme="minorHAnsi"/>
          <w:color w:val="000000" w:themeColor="text1"/>
        </w:rPr>
        <w:t>]</w:t>
      </w:r>
      <w:r w:rsidR="00D20BCC" w:rsidRPr="00E44EF4">
        <w:rPr>
          <w:rFonts w:cstheme="minorHAnsi"/>
          <w:color w:val="000000" w:themeColor="text1"/>
        </w:rPr>
        <w:t>.</w:t>
      </w:r>
    </w:p>
  </w:footnote>
  <w:footnote w:id="3">
    <w:p w14:paraId="5009DAD8" w14:textId="06C730DF" w:rsidR="00A23027" w:rsidRPr="00E44EF4" w:rsidRDefault="00A23027"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2" w:history="1">
        <w:r w:rsidR="00686826" w:rsidRPr="00E44EF4">
          <w:rPr>
            <w:rStyle w:val="Hyperlink"/>
            <w:rFonts w:cstheme="minorHAnsi"/>
            <w:i/>
            <w:iCs/>
            <w:color w:val="000000" w:themeColor="text1"/>
          </w:rPr>
          <w:t>Dunavant Enterprises Inc v Olympia Spinning &amp; Weaving Mills Ltd [2011] EWHC 2028 (Comm)</w:t>
        </w:r>
        <w:r w:rsidR="00686826" w:rsidRPr="00E44EF4">
          <w:rPr>
            <w:rStyle w:val="Hyperlink"/>
            <w:rFonts w:cstheme="minorHAnsi"/>
            <w:color w:val="000000" w:themeColor="text1"/>
            <w:shd w:val="clear" w:color="auto" w:fill="FFFFFF"/>
          </w:rPr>
          <w:t> </w:t>
        </w:r>
      </w:hyperlink>
      <w:r w:rsidR="00686826" w:rsidRPr="00E44EF4">
        <w:rPr>
          <w:rFonts w:cstheme="minorHAnsi"/>
          <w:color w:val="000000" w:themeColor="text1"/>
          <w:shd w:val="clear" w:color="auto" w:fill="FFFFFF"/>
        </w:rPr>
        <w:t>at [29], [32].</w:t>
      </w:r>
    </w:p>
  </w:footnote>
  <w:footnote w:id="4">
    <w:p w14:paraId="17648BD7" w14:textId="7C2F6FF7" w:rsidR="00F664D5" w:rsidRPr="00E44EF4" w:rsidRDefault="00F664D5" w:rsidP="00943588">
      <w:pPr>
        <w:pStyle w:val="FootnoteText"/>
        <w:jc w:val="both"/>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Further aspects to consider when analysing</w:t>
      </w:r>
      <w:r w:rsidR="00EB4E4B" w:rsidRPr="00E44EF4">
        <w:rPr>
          <w:rFonts w:cstheme="minorHAnsi"/>
          <w:color w:val="000000" w:themeColor="text1"/>
        </w:rPr>
        <w:t xml:space="preserve"> FMs</w:t>
      </w:r>
      <w:r w:rsidRPr="00E44EF4">
        <w:rPr>
          <w:rFonts w:cstheme="minorHAnsi"/>
          <w:color w:val="000000" w:themeColor="text1"/>
        </w:rPr>
        <w:t xml:space="preserve"> are the possible applicability of section 3 of the </w:t>
      </w:r>
      <w:r w:rsidRPr="00E44EF4">
        <w:rPr>
          <w:rFonts w:cstheme="minorHAnsi"/>
          <w:i/>
          <w:color w:val="000000" w:themeColor="text1"/>
        </w:rPr>
        <w:t>Unfair Contract Terms Act, 1977</w:t>
      </w:r>
      <w:r w:rsidRPr="00E44EF4">
        <w:rPr>
          <w:rFonts w:cstheme="minorHAnsi"/>
          <w:color w:val="000000" w:themeColor="text1"/>
        </w:rPr>
        <w:t xml:space="preserve"> and part 2 of the </w:t>
      </w:r>
      <w:r w:rsidRPr="00E44EF4">
        <w:rPr>
          <w:rFonts w:cstheme="minorHAnsi"/>
          <w:i/>
          <w:color w:val="000000" w:themeColor="text1"/>
        </w:rPr>
        <w:t>Consumer Rights Act, 2015</w:t>
      </w:r>
      <w:r w:rsidRPr="00E44EF4">
        <w:rPr>
          <w:rFonts w:cstheme="minorHAnsi"/>
          <w:color w:val="000000" w:themeColor="text1"/>
        </w:rPr>
        <w:t>.</w:t>
      </w:r>
    </w:p>
  </w:footnote>
  <w:footnote w:id="5">
    <w:p w14:paraId="4F56EFA2" w14:textId="0901C3B3" w:rsidR="00E54FFA" w:rsidRPr="00E44EF4" w:rsidRDefault="00E54FFA" w:rsidP="00943588">
      <w:pPr>
        <w:pStyle w:val="FootnoteText"/>
        <w:rPr>
          <w:rFonts w:cstheme="minorHAnsi"/>
          <w:color w:val="000000" w:themeColor="text1"/>
          <w:lang w:val="en-GB"/>
        </w:rPr>
      </w:pPr>
      <w:r w:rsidRPr="00E44EF4">
        <w:rPr>
          <w:rStyle w:val="FootnoteReference"/>
          <w:rFonts w:cstheme="minorHAnsi"/>
          <w:color w:val="000000" w:themeColor="text1"/>
        </w:rPr>
        <w:footnoteRef/>
      </w:r>
      <w:hyperlink r:id="rId3" w:history="1">
        <w:r w:rsidR="00D20BCC" w:rsidRPr="00E44EF4">
          <w:rPr>
            <w:rStyle w:val="Hyperlink"/>
            <w:rFonts w:cstheme="minorHAnsi"/>
            <w:i/>
            <w:iCs/>
            <w:color w:val="000000" w:themeColor="text1"/>
          </w:rPr>
          <w:t>Mamidoil-Jetoil Greek Petroleum Co SA v Okta Crude Oil Refinery AD (No. 3) [2002] EWHC 2210(Comm)</w:t>
        </w:r>
      </w:hyperlink>
      <w:r w:rsidR="00D20BCC" w:rsidRPr="00E44EF4">
        <w:rPr>
          <w:rFonts w:cstheme="minorHAnsi"/>
          <w:color w:val="000000" w:themeColor="text1"/>
        </w:rPr>
        <w:t xml:space="preserve"> at [54].</w:t>
      </w:r>
    </w:p>
  </w:footnote>
  <w:footnote w:id="6">
    <w:p w14:paraId="04BC1523" w14:textId="28F79A4B" w:rsidR="001338A2" w:rsidRPr="00E44EF4" w:rsidRDefault="001338A2"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4" w:history="1">
        <w:r w:rsidRPr="00E44EF4">
          <w:rPr>
            <w:rStyle w:val="Hyperlink"/>
            <w:rFonts w:cstheme="minorHAnsi"/>
            <w:i/>
            <w:iCs/>
            <w:color w:val="000000" w:themeColor="text1"/>
          </w:rPr>
          <w:t>Dunavant Enterprises Inc v Olympia Spinning &amp; Weaving Mills Ltd [2011] EWHC 2028 (Comm)</w:t>
        </w:r>
        <w:r w:rsidRPr="00E44EF4">
          <w:rPr>
            <w:rStyle w:val="Hyperlink"/>
            <w:rFonts w:cstheme="minorHAnsi"/>
            <w:color w:val="000000" w:themeColor="text1"/>
            <w:shd w:val="clear" w:color="auto" w:fill="FFFFFF"/>
          </w:rPr>
          <w:t> </w:t>
        </w:r>
      </w:hyperlink>
      <w:r w:rsidRPr="00E44EF4">
        <w:rPr>
          <w:rFonts w:cstheme="minorHAnsi"/>
          <w:color w:val="000000" w:themeColor="text1"/>
          <w:shd w:val="clear" w:color="auto" w:fill="FFFFFF"/>
        </w:rPr>
        <w:t>at [18], [32]</w:t>
      </w:r>
      <w:r w:rsidR="00D32187" w:rsidRPr="00E44EF4">
        <w:rPr>
          <w:rFonts w:cstheme="minorHAnsi"/>
          <w:color w:val="000000" w:themeColor="text1"/>
          <w:shd w:val="clear" w:color="auto" w:fill="FFFFFF"/>
        </w:rPr>
        <w:t>.</w:t>
      </w:r>
    </w:p>
  </w:footnote>
  <w:footnote w:id="7">
    <w:p w14:paraId="572E1E54" w14:textId="33F507BF" w:rsidR="00FB6517" w:rsidRPr="00E44EF4" w:rsidRDefault="00FB6517"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5" w:history="1">
        <w:r w:rsidRPr="00E44EF4">
          <w:rPr>
            <w:rStyle w:val="Hyperlink"/>
            <w:rFonts w:cstheme="minorHAnsi"/>
            <w:i/>
            <w:iCs/>
            <w:color w:val="000000" w:themeColor="text1"/>
          </w:rPr>
          <w:t>Mamidoil-Jetoil Greek Petroleum Co SA v Okta Crude Oil Refinery AD (No.</w:t>
        </w:r>
        <w:r w:rsidR="005F63A9" w:rsidRPr="00E44EF4">
          <w:rPr>
            <w:rStyle w:val="Hyperlink"/>
            <w:rFonts w:cstheme="minorHAnsi"/>
            <w:i/>
            <w:iCs/>
            <w:color w:val="000000" w:themeColor="text1"/>
          </w:rPr>
          <w:t>3</w:t>
        </w:r>
        <w:r w:rsidRPr="00E44EF4">
          <w:rPr>
            <w:rStyle w:val="Hyperlink"/>
            <w:rFonts w:cstheme="minorHAnsi"/>
            <w:i/>
            <w:iCs/>
            <w:color w:val="000000" w:themeColor="text1"/>
          </w:rPr>
          <w:t>) [2003] EWCA Civ 1031</w:t>
        </w:r>
        <w:r w:rsidR="002227F6" w:rsidRPr="00E44EF4">
          <w:rPr>
            <w:rStyle w:val="Hyperlink"/>
            <w:rFonts w:cstheme="minorHAnsi"/>
            <w:i/>
            <w:iCs/>
            <w:color w:val="000000" w:themeColor="text1"/>
          </w:rPr>
          <w:t xml:space="preserve"> (</w:t>
        </w:r>
        <w:r w:rsidR="005F63A9" w:rsidRPr="00E44EF4">
          <w:rPr>
            <w:rStyle w:val="Hyperlink"/>
            <w:rFonts w:cstheme="minorHAnsi"/>
            <w:i/>
            <w:iCs/>
            <w:color w:val="000000" w:themeColor="text1"/>
          </w:rPr>
          <w:t>CA)</w:t>
        </w:r>
      </w:hyperlink>
      <w:r w:rsidRPr="00E44EF4">
        <w:rPr>
          <w:rFonts w:cstheme="minorHAnsi"/>
          <w:color w:val="000000" w:themeColor="text1"/>
        </w:rPr>
        <w:t xml:space="preserve"> at [32].</w:t>
      </w:r>
    </w:p>
  </w:footnote>
  <w:footnote w:id="8">
    <w:p w14:paraId="50F6E20E" w14:textId="0A3EA958" w:rsidR="00DB37EB" w:rsidRPr="00E44EF4" w:rsidRDefault="00DB37EB" w:rsidP="00943588">
      <w:pPr>
        <w:pStyle w:val="FootnoteText"/>
        <w:jc w:val="both"/>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6" w:history="1">
        <w:r w:rsidR="00E26499" w:rsidRPr="00E44EF4">
          <w:rPr>
            <w:rStyle w:val="Hyperlink"/>
            <w:rFonts w:cstheme="minorHAnsi"/>
            <w:i/>
            <w:iCs/>
            <w:color w:val="000000" w:themeColor="text1"/>
          </w:rPr>
          <w:t>Mamidoil-Jetoil Greek Petroleum Co SA v Okta Crude Oil Refinery AD (No. 3) [2002] EWHC 2210(Comm)</w:t>
        </w:r>
      </w:hyperlink>
      <w:r w:rsidR="00E26499" w:rsidRPr="00E44EF4">
        <w:rPr>
          <w:rFonts w:cstheme="minorHAnsi"/>
          <w:color w:val="000000" w:themeColor="text1"/>
        </w:rPr>
        <w:t xml:space="preserve"> at [53].</w:t>
      </w:r>
    </w:p>
  </w:footnote>
  <w:footnote w:id="9">
    <w:p w14:paraId="22933CB7" w14:textId="042C2116" w:rsidR="008C657F" w:rsidRPr="00E44EF4" w:rsidRDefault="008C657F"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7" w:history="1">
        <w:r w:rsidRPr="00E44EF4">
          <w:rPr>
            <w:rStyle w:val="Hyperlink"/>
            <w:rFonts w:cstheme="minorHAnsi"/>
            <w:i/>
            <w:iCs/>
            <w:color w:val="000000" w:themeColor="text1"/>
          </w:rPr>
          <w:t>Cukurova Finance International Ltd v Alfa Telecom Turkey Ltd</w:t>
        </w:r>
        <w:r w:rsidR="00A84960" w:rsidRPr="00E44EF4">
          <w:rPr>
            <w:rStyle w:val="Hyperlink"/>
            <w:rFonts w:cstheme="minorHAnsi"/>
            <w:i/>
            <w:iCs/>
            <w:color w:val="000000" w:themeColor="text1"/>
          </w:rPr>
          <w:t xml:space="preserve"> [2016] AC 923 (PC)</w:t>
        </w:r>
      </w:hyperlink>
      <w:r w:rsidR="00A84960" w:rsidRPr="00E44EF4">
        <w:rPr>
          <w:rFonts w:cstheme="minorHAnsi"/>
          <w:color w:val="000000" w:themeColor="text1"/>
        </w:rPr>
        <w:t xml:space="preserve"> </w:t>
      </w:r>
      <w:r w:rsidR="00975563" w:rsidRPr="00E44EF4">
        <w:rPr>
          <w:rFonts w:cstheme="minorHAnsi"/>
          <w:color w:val="000000" w:themeColor="text1"/>
        </w:rPr>
        <w:t>at 45</w:t>
      </w:r>
      <w:r w:rsidR="001E1818" w:rsidRPr="00E44EF4">
        <w:rPr>
          <w:rFonts w:cstheme="minorHAnsi"/>
          <w:color w:val="000000" w:themeColor="text1"/>
        </w:rPr>
        <w:t>.</w:t>
      </w:r>
    </w:p>
  </w:footnote>
  <w:footnote w:id="10">
    <w:p w14:paraId="16F30D7E" w14:textId="58FB483D" w:rsidR="00B57D2C" w:rsidRPr="00E44EF4" w:rsidRDefault="00B57D2C" w:rsidP="00943588">
      <w:pPr>
        <w:pStyle w:val="FootnoteText"/>
        <w:rPr>
          <w:rFonts w:cstheme="minorHAnsi"/>
          <w:color w:val="000000" w:themeColor="text1"/>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8" w:history="1">
        <w:r w:rsidRPr="00E44EF4">
          <w:rPr>
            <w:rStyle w:val="Hyperlink"/>
            <w:rFonts w:cstheme="minorHAnsi"/>
            <w:i/>
            <w:iCs/>
            <w:color w:val="000000" w:themeColor="text1"/>
          </w:rPr>
          <w:t>Canary Wharf (BP4) T1 Limited v European Medicines Agency [2019] EWHC 335 (C</w:t>
        </w:r>
        <w:r w:rsidR="00893A79" w:rsidRPr="00E44EF4">
          <w:rPr>
            <w:rStyle w:val="Hyperlink"/>
            <w:rFonts w:cstheme="minorHAnsi"/>
            <w:i/>
            <w:iCs/>
            <w:color w:val="000000" w:themeColor="text1"/>
          </w:rPr>
          <w:t>h</w:t>
        </w:r>
        <w:r w:rsidRPr="00E44EF4">
          <w:rPr>
            <w:rStyle w:val="Hyperlink"/>
            <w:rFonts w:cstheme="minorHAnsi"/>
            <w:i/>
            <w:iCs/>
            <w:color w:val="000000" w:themeColor="text1"/>
          </w:rPr>
          <w:t>)</w:t>
        </w:r>
      </w:hyperlink>
      <w:r w:rsidRPr="00E44EF4">
        <w:rPr>
          <w:rFonts w:cstheme="minorHAnsi"/>
          <w:i/>
          <w:iCs/>
          <w:color w:val="000000" w:themeColor="text1"/>
        </w:rPr>
        <w:t xml:space="preserve"> </w:t>
      </w:r>
      <w:r w:rsidRPr="00E44EF4">
        <w:rPr>
          <w:rFonts w:cstheme="minorHAnsi"/>
          <w:color w:val="000000" w:themeColor="text1"/>
        </w:rPr>
        <w:t>at 21 – 23.</w:t>
      </w:r>
    </w:p>
  </w:footnote>
  <w:footnote w:id="11">
    <w:p w14:paraId="6A4DB638" w14:textId="32448274" w:rsidR="006B65EB" w:rsidRPr="00E44EF4" w:rsidRDefault="006B65EB" w:rsidP="00943588">
      <w:pPr>
        <w:spacing w:after="0" w:line="240" w:lineRule="auto"/>
        <w:jc w:val="both"/>
        <w:rPr>
          <w:rFonts w:cstheme="minorHAnsi"/>
          <w:color w:val="000000" w:themeColor="text1"/>
          <w:sz w:val="20"/>
          <w:szCs w:val="20"/>
        </w:rPr>
      </w:pPr>
      <w:r w:rsidRPr="00E44EF4">
        <w:rPr>
          <w:rStyle w:val="FootnoteReference"/>
          <w:rFonts w:cstheme="minorHAnsi"/>
          <w:color w:val="000000" w:themeColor="text1"/>
          <w:sz w:val="20"/>
          <w:szCs w:val="20"/>
        </w:rPr>
        <w:footnoteRef/>
      </w:r>
      <w:r w:rsidRPr="00E44EF4">
        <w:rPr>
          <w:rFonts w:cstheme="minorHAnsi"/>
          <w:color w:val="000000" w:themeColor="text1"/>
          <w:sz w:val="20"/>
          <w:szCs w:val="20"/>
        </w:rPr>
        <w:t xml:space="preserve"> </w:t>
      </w:r>
      <w:hyperlink r:id="rId9" w:history="1">
        <w:r w:rsidR="00FF5DD8" w:rsidRPr="00E44EF4">
          <w:rPr>
            <w:rStyle w:val="Hyperlink"/>
            <w:rFonts w:cstheme="minorHAnsi"/>
            <w:i/>
            <w:iCs/>
            <w:color w:val="000000" w:themeColor="text1"/>
            <w:sz w:val="20"/>
            <w:szCs w:val="20"/>
          </w:rPr>
          <w:t>Davis Contractors v Fareham Urban DC [1956] AC 69</w:t>
        </w:r>
        <w:r w:rsidR="00342EED" w:rsidRPr="00E44EF4">
          <w:rPr>
            <w:rStyle w:val="Hyperlink"/>
            <w:rFonts w:cstheme="minorHAnsi"/>
            <w:i/>
            <w:iCs/>
            <w:color w:val="000000" w:themeColor="text1"/>
            <w:sz w:val="20"/>
            <w:szCs w:val="20"/>
          </w:rPr>
          <w:t>6 (HL)</w:t>
        </w:r>
      </w:hyperlink>
      <w:r w:rsidR="00342EED" w:rsidRPr="00E44EF4">
        <w:rPr>
          <w:rFonts w:cstheme="minorHAnsi"/>
          <w:color w:val="000000" w:themeColor="text1"/>
          <w:sz w:val="20"/>
          <w:szCs w:val="20"/>
        </w:rPr>
        <w:t xml:space="preserve"> </w:t>
      </w:r>
      <w:r w:rsidR="00FF5DD8" w:rsidRPr="00E44EF4">
        <w:rPr>
          <w:rFonts w:cstheme="minorHAnsi"/>
          <w:color w:val="000000" w:themeColor="text1"/>
          <w:sz w:val="20"/>
          <w:szCs w:val="20"/>
        </w:rPr>
        <w:t>at 729.</w:t>
      </w:r>
    </w:p>
  </w:footnote>
  <w:footnote w:id="12">
    <w:p w14:paraId="387C81A5" w14:textId="4EA53719" w:rsidR="00FF5DD8" w:rsidRPr="00E44EF4" w:rsidRDefault="00FF5DD8"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0" w:history="1">
        <w:r w:rsidR="00260CAA" w:rsidRPr="00E44EF4">
          <w:rPr>
            <w:rStyle w:val="Hyperlink"/>
            <w:rFonts w:cstheme="minorHAnsi"/>
            <w:i/>
            <w:iCs/>
            <w:color w:val="000000" w:themeColor="text1"/>
          </w:rPr>
          <w:t>National Carriers Ltd v Panalpina (Northern) Ltd [1981] AC 67</w:t>
        </w:r>
        <w:r w:rsidR="00342EED" w:rsidRPr="00E44EF4">
          <w:rPr>
            <w:rStyle w:val="Hyperlink"/>
            <w:rFonts w:cstheme="minorHAnsi"/>
            <w:i/>
            <w:iCs/>
            <w:color w:val="000000" w:themeColor="text1"/>
          </w:rPr>
          <w:t>5 (HL)</w:t>
        </w:r>
      </w:hyperlink>
      <w:r w:rsidR="00260CAA" w:rsidRPr="00E44EF4">
        <w:rPr>
          <w:rFonts w:cstheme="minorHAnsi"/>
          <w:color w:val="000000" w:themeColor="text1"/>
        </w:rPr>
        <w:t xml:space="preserve"> at 700.</w:t>
      </w:r>
    </w:p>
  </w:footnote>
  <w:footnote w:id="13">
    <w:p w14:paraId="20736CB0" w14:textId="04C4694F" w:rsidR="002D051A" w:rsidRPr="00E44EF4" w:rsidRDefault="002D051A"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1" w:history="1">
        <w:r w:rsidR="00374E2E" w:rsidRPr="00E44EF4">
          <w:rPr>
            <w:rStyle w:val="Hyperlink"/>
            <w:rFonts w:cstheme="minorHAnsi"/>
            <w:i/>
            <w:iCs/>
            <w:color w:val="000000" w:themeColor="text1"/>
          </w:rPr>
          <w:t xml:space="preserve">FA Tamplin Steamship Co Ltd v Anglo Mexican Petroleum Products Co Ltd </w:t>
        </w:r>
        <w:r w:rsidRPr="00E44EF4">
          <w:rPr>
            <w:rStyle w:val="Hyperlink"/>
            <w:rFonts w:cstheme="minorHAnsi"/>
            <w:i/>
            <w:iCs/>
            <w:color w:val="000000" w:themeColor="text1"/>
          </w:rPr>
          <w:t>[1916] 2 AC 39</w:t>
        </w:r>
        <w:r w:rsidR="000B157E" w:rsidRPr="00E44EF4">
          <w:rPr>
            <w:rStyle w:val="Hyperlink"/>
            <w:rFonts w:cstheme="minorHAnsi"/>
            <w:i/>
            <w:iCs/>
            <w:color w:val="000000" w:themeColor="text1"/>
          </w:rPr>
          <w:t>7 (HL)</w:t>
        </w:r>
      </w:hyperlink>
      <w:r w:rsidR="00374E2E" w:rsidRPr="00E44EF4">
        <w:rPr>
          <w:rFonts w:cstheme="minorHAnsi"/>
          <w:color w:val="000000" w:themeColor="text1"/>
        </w:rPr>
        <w:t xml:space="preserve"> at </w:t>
      </w:r>
      <w:r w:rsidR="006564CD" w:rsidRPr="00E44EF4">
        <w:rPr>
          <w:rFonts w:cstheme="minorHAnsi"/>
          <w:color w:val="000000" w:themeColor="text1"/>
        </w:rPr>
        <w:t>426</w:t>
      </w:r>
      <w:r w:rsidR="007E3F5E" w:rsidRPr="00E44EF4">
        <w:rPr>
          <w:rFonts w:cstheme="minorHAnsi"/>
          <w:color w:val="000000" w:themeColor="text1"/>
        </w:rPr>
        <w:t xml:space="preserve"> – 428.</w:t>
      </w:r>
    </w:p>
  </w:footnote>
  <w:footnote w:id="14">
    <w:p w14:paraId="79C44555" w14:textId="0A21BCE2" w:rsidR="00DD01DA" w:rsidRPr="00E44EF4" w:rsidRDefault="00DD01DA"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2" w:history="1">
        <w:r w:rsidR="000D58EA" w:rsidRPr="00E44EF4">
          <w:rPr>
            <w:rStyle w:val="Hyperlink"/>
            <w:rFonts w:cstheme="minorHAnsi"/>
            <w:i/>
            <w:iCs/>
            <w:color w:val="000000" w:themeColor="text1"/>
          </w:rPr>
          <w:t>Warner v Armfield Retail and Leisure Ltd 2014 ICR 239</w:t>
        </w:r>
        <w:r w:rsidR="00A25AD5" w:rsidRPr="00E44EF4">
          <w:rPr>
            <w:rStyle w:val="Hyperlink"/>
            <w:rFonts w:cstheme="minorHAnsi"/>
            <w:i/>
            <w:iCs/>
            <w:color w:val="000000" w:themeColor="text1"/>
          </w:rPr>
          <w:t xml:space="preserve"> (</w:t>
        </w:r>
        <w:r w:rsidR="000D58EA" w:rsidRPr="00E44EF4">
          <w:rPr>
            <w:rStyle w:val="Hyperlink"/>
            <w:rFonts w:cstheme="minorHAnsi"/>
            <w:i/>
            <w:iCs/>
            <w:color w:val="000000" w:themeColor="text1"/>
          </w:rPr>
          <w:t>EAT</w:t>
        </w:r>
        <w:r w:rsidR="00A25AD5" w:rsidRPr="00E44EF4">
          <w:rPr>
            <w:rStyle w:val="Hyperlink"/>
            <w:rFonts w:cstheme="minorHAnsi"/>
            <w:i/>
            <w:iCs/>
            <w:color w:val="000000" w:themeColor="text1"/>
          </w:rPr>
          <w:t>)</w:t>
        </w:r>
      </w:hyperlink>
      <w:r w:rsidR="00A25AD5" w:rsidRPr="00E44EF4">
        <w:rPr>
          <w:rFonts w:cstheme="minorHAnsi"/>
          <w:i/>
          <w:iCs/>
          <w:color w:val="000000" w:themeColor="text1"/>
        </w:rPr>
        <w:t>.</w:t>
      </w:r>
    </w:p>
  </w:footnote>
  <w:footnote w:id="15">
    <w:p w14:paraId="75161ABB" w14:textId="4482923D" w:rsidR="00C75356" w:rsidRPr="00E44EF4" w:rsidRDefault="00C75356" w:rsidP="00943588">
      <w:pPr>
        <w:pStyle w:val="FootnoteText"/>
        <w:jc w:val="both"/>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3" w:history="1">
        <w:r w:rsidRPr="00E44EF4">
          <w:rPr>
            <w:rStyle w:val="Hyperlink"/>
            <w:rFonts w:cstheme="minorHAnsi"/>
            <w:i/>
            <w:iCs/>
            <w:color w:val="000000" w:themeColor="text1"/>
          </w:rPr>
          <w:t>Pioneer Shipping Ltd and Others v B.T.P. Tioxide Ltd [1982] AC 724 (HL)</w:t>
        </w:r>
        <w:r w:rsidRPr="00E44EF4">
          <w:rPr>
            <w:rStyle w:val="Hyperlink"/>
            <w:rFonts w:cstheme="minorHAnsi"/>
            <w:color w:val="000000" w:themeColor="text1"/>
          </w:rPr>
          <w:t>.</w:t>
        </w:r>
      </w:hyperlink>
    </w:p>
  </w:footnote>
  <w:footnote w:id="16">
    <w:p w14:paraId="64661289" w14:textId="0AF29052" w:rsidR="00BE515A" w:rsidRPr="00E44EF4" w:rsidRDefault="00BE515A"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4" w:history="1">
        <w:r w:rsidRPr="00E44EF4">
          <w:rPr>
            <w:rStyle w:val="Hyperlink"/>
            <w:rFonts w:cstheme="minorHAnsi"/>
            <w:i/>
            <w:iCs/>
            <w:color w:val="000000" w:themeColor="text1"/>
          </w:rPr>
          <w:t>Fibrosa Spolka Akcyjna v Fairbairn Lawson Combe Barbour Ltd</w:t>
        </w:r>
        <w:r w:rsidR="00491995" w:rsidRPr="00E44EF4">
          <w:rPr>
            <w:rStyle w:val="Hyperlink"/>
            <w:rFonts w:cstheme="minorHAnsi"/>
            <w:i/>
            <w:iCs/>
            <w:color w:val="000000" w:themeColor="text1"/>
          </w:rPr>
          <w:t xml:space="preserve"> [1943] AC 32</w:t>
        </w:r>
        <w:r w:rsidR="00650585" w:rsidRPr="00E44EF4">
          <w:rPr>
            <w:rStyle w:val="Hyperlink"/>
            <w:rFonts w:cstheme="minorHAnsi"/>
            <w:i/>
            <w:iCs/>
            <w:color w:val="000000" w:themeColor="text1"/>
          </w:rPr>
          <w:t xml:space="preserve"> (HL)</w:t>
        </w:r>
      </w:hyperlink>
      <w:r w:rsidR="00650585" w:rsidRPr="00E44EF4">
        <w:rPr>
          <w:rFonts w:cstheme="minorHAnsi"/>
          <w:color w:val="000000" w:themeColor="text1"/>
        </w:rPr>
        <w:t xml:space="preserve"> </w:t>
      </w:r>
      <w:r w:rsidR="006C1C1E" w:rsidRPr="00E44EF4">
        <w:rPr>
          <w:rFonts w:cstheme="minorHAnsi"/>
          <w:color w:val="000000" w:themeColor="text1"/>
        </w:rPr>
        <w:t>at 49.</w:t>
      </w:r>
    </w:p>
  </w:footnote>
  <w:footnote w:id="17">
    <w:p w14:paraId="51FEF3E6" w14:textId="77777777" w:rsidR="00862EF2" w:rsidRPr="00E44EF4" w:rsidRDefault="00862EF2" w:rsidP="00943588">
      <w:pPr>
        <w:pStyle w:val="FootnoteText"/>
        <w:rPr>
          <w:rFonts w:cstheme="minorHAnsi"/>
          <w:color w:val="000000" w:themeColor="text1"/>
          <w:lang w:val="en-GB"/>
        </w:rPr>
      </w:pPr>
      <w:r w:rsidRPr="00E44EF4">
        <w:rPr>
          <w:rStyle w:val="FootnoteReference"/>
          <w:rFonts w:cstheme="minorHAnsi"/>
          <w:color w:val="000000" w:themeColor="text1"/>
        </w:rPr>
        <w:footnoteRef/>
      </w:r>
      <w:r w:rsidRPr="00E44EF4">
        <w:rPr>
          <w:rFonts w:cstheme="minorHAnsi"/>
          <w:color w:val="000000" w:themeColor="text1"/>
        </w:rPr>
        <w:t xml:space="preserve"> </w:t>
      </w:r>
      <w:hyperlink r:id="rId15" w:history="1">
        <w:r w:rsidRPr="00E44EF4">
          <w:rPr>
            <w:rStyle w:val="Hyperlink"/>
            <w:rFonts w:cstheme="minorHAnsi"/>
            <w:color w:val="000000" w:themeColor="text1"/>
            <w:shd w:val="clear" w:color="auto" w:fill="FFFFFF"/>
          </w:rPr>
          <w:t>Whincup v Hughes (1871) LR 6 CP 78</w:t>
        </w:r>
      </w:hyperlink>
      <w:r w:rsidRPr="00E44EF4">
        <w:rPr>
          <w:rFonts w:cstheme="minorHAnsi"/>
          <w:color w:val="000000" w:themeColor="text1"/>
          <w:shd w:val="clear" w:color="auto" w:fill="FFFFFF"/>
        </w:rPr>
        <w:t xml:space="preserve"> at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C7AD" w14:textId="77777777" w:rsidR="008F50DD" w:rsidRDefault="008F50DD" w:rsidP="0094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2A3"/>
    <w:multiLevelType w:val="hybridMultilevel"/>
    <w:tmpl w:val="D85AB2AA"/>
    <w:lvl w:ilvl="0" w:tplc="4BB01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C36F4"/>
    <w:multiLevelType w:val="hybridMultilevel"/>
    <w:tmpl w:val="3AF08A10"/>
    <w:lvl w:ilvl="0" w:tplc="2624A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63CD3"/>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C03B12"/>
    <w:multiLevelType w:val="hybridMultilevel"/>
    <w:tmpl w:val="D85AB2AA"/>
    <w:lvl w:ilvl="0" w:tplc="4BB01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57057"/>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240F09"/>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FB7503"/>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9AA7A1E"/>
    <w:multiLevelType w:val="hybridMultilevel"/>
    <w:tmpl w:val="32CAE702"/>
    <w:lvl w:ilvl="0" w:tplc="28908C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413A17"/>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CE5309D"/>
    <w:multiLevelType w:val="hybridMultilevel"/>
    <w:tmpl w:val="FDC877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num>
  <w:num w:numId="5">
    <w:abstractNumId w:val="4"/>
  </w:num>
  <w:num w:numId="6">
    <w:abstractNumId w:val="6"/>
  </w:num>
  <w:num w:numId="7">
    <w:abstractNumId w:val="2"/>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65"/>
    <w:rsid w:val="000145DD"/>
    <w:rsid w:val="00015BD0"/>
    <w:rsid w:val="00023E5E"/>
    <w:rsid w:val="00024B95"/>
    <w:rsid w:val="0003776D"/>
    <w:rsid w:val="0004108C"/>
    <w:rsid w:val="0005613F"/>
    <w:rsid w:val="000675B8"/>
    <w:rsid w:val="00077617"/>
    <w:rsid w:val="00077C9B"/>
    <w:rsid w:val="00094111"/>
    <w:rsid w:val="000948B9"/>
    <w:rsid w:val="000A0D3C"/>
    <w:rsid w:val="000A764F"/>
    <w:rsid w:val="000B157E"/>
    <w:rsid w:val="000B2A7A"/>
    <w:rsid w:val="000B5076"/>
    <w:rsid w:val="000B5B83"/>
    <w:rsid w:val="000C0AD3"/>
    <w:rsid w:val="000C0EBA"/>
    <w:rsid w:val="000C5327"/>
    <w:rsid w:val="000C5970"/>
    <w:rsid w:val="000C6C88"/>
    <w:rsid w:val="000D0192"/>
    <w:rsid w:val="000D08C2"/>
    <w:rsid w:val="000D120E"/>
    <w:rsid w:val="000D1848"/>
    <w:rsid w:val="000D2288"/>
    <w:rsid w:val="000D58EA"/>
    <w:rsid w:val="000E6D3E"/>
    <w:rsid w:val="000F0A3D"/>
    <w:rsid w:val="000F683A"/>
    <w:rsid w:val="00106961"/>
    <w:rsid w:val="00110663"/>
    <w:rsid w:val="001112CF"/>
    <w:rsid w:val="001338A2"/>
    <w:rsid w:val="00154893"/>
    <w:rsid w:val="00156DF8"/>
    <w:rsid w:val="00163832"/>
    <w:rsid w:val="001669F8"/>
    <w:rsid w:val="00173F32"/>
    <w:rsid w:val="0018349E"/>
    <w:rsid w:val="00183E4F"/>
    <w:rsid w:val="00185FCF"/>
    <w:rsid w:val="00186D15"/>
    <w:rsid w:val="00187500"/>
    <w:rsid w:val="001A36F8"/>
    <w:rsid w:val="001A7FF1"/>
    <w:rsid w:val="001B1ED5"/>
    <w:rsid w:val="001C7A5C"/>
    <w:rsid w:val="001D013B"/>
    <w:rsid w:val="001E0C6F"/>
    <w:rsid w:val="001E1818"/>
    <w:rsid w:val="001E4B64"/>
    <w:rsid w:val="001E690F"/>
    <w:rsid w:val="002227F6"/>
    <w:rsid w:val="00223DF9"/>
    <w:rsid w:val="00224663"/>
    <w:rsid w:val="002359C9"/>
    <w:rsid w:val="00243413"/>
    <w:rsid w:val="0024660E"/>
    <w:rsid w:val="002526BA"/>
    <w:rsid w:val="00253AA3"/>
    <w:rsid w:val="00255A36"/>
    <w:rsid w:val="00260CAA"/>
    <w:rsid w:val="00277EB2"/>
    <w:rsid w:val="002811E5"/>
    <w:rsid w:val="00283604"/>
    <w:rsid w:val="00297C05"/>
    <w:rsid w:val="002D051A"/>
    <w:rsid w:val="002D0EE5"/>
    <w:rsid w:val="002E0767"/>
    <w:rsid w:val="002E1469"/>
    <w:rsid w:val="002E578F"/>
    <w:rsid w:val="002E6DF4"/>
    <w:rsid w:val="002F3343"/>
    <w:rsid w:val="00307F8A"/>
    <w:rsid w:val="00330B12"/>
    <w:rsid w:val="00336124"/>
    <w:rsid w:val="0034109E"/>
    <w:rsid w:val="00342D1D"/>
    <w:rsid w:val="00342EED"/>
    <w:rsid w:val="003432FE"/>
    <w:rsid w:val="003507A3"/>
    <w:rsid w:val="00353A4E"/>
    <w:rsid w:val="003548E4"/>
    <w:rsid w:val="00361531"/>
    <w:rsid w:val="003623F9"/>
    <w:rsid w:val="003669A4"/>
    <w:rsid w:val="00367BE5"/>
    <w:rsid w:val="003723B9"/>
    <w:rsid w:val="003725C5"/>
    <w:rsid w:val="003744C6"/>
    <w:rsid w:val="00374E2E"/>
    <w:rsid w:val="003758EF"/>
    <w:rsid w:val="003772A0"/>
    <w:rsid w:val="00377A4D"/>
    <w:rsid w:val="0038198A"/>
    <w:rsid w:val="00383750"/>
    <w:rsid w:val="003852D0"/>
    <w:rsid w:val="00392325"/>
    <w:rsid w:val="00392BF4"/>
    <w:rsid w:val="00393F50"/>
    <w:rsid w:val="003A115D"/>
    <w:rsid w:val="003A1AEF"/>
    <w:rsid w:val="003A307C"/>
    <w:rsid w:val="003A3F41"/>
    <w:rsid w:val="003A6571"/>
    <w:rsid w:val="003B584F"/>
    <w:rsid w:val="003C0468"/>
    <w:rsid w:val="003D215B"/>
    <w:rsid w:val="003D254E"/>
    <w:rsid w:val="003D3148"/>
    <w:rsid w:val="003E0C33"/>
    <w:rsid w:val="003E1310"/>
    <w:rsid w:val="003E172E"/>
    <w:rsid w:val="003E78BE"/>
    <w:rsid w:val="003F641B"/>
    <w:rsid w:val="00410189"/>
    <w:rsid w:val="0041372A"/>
    <w:rsid w:val="00426703"/>
    <w:rsid w:val="004307EE"/>
    <w:rsid w:val="00441BB5"/>
    <w:rsid w:val="00453C77"/>
    <w:rsid w:val="004552FB"/>
    <w:rsid w:val="00455DE0"/>
    <w:rsid w:val="00460640"/>
    <w:rsid w:val="00463CEE"/>
    <w:rsid w:val="00466E16"/>
    <w:rsid w:val="00470111"/>
    <w:rsid w:val="00483960"/>
    <w:rsid w:val="00487BAE"/>
    <w:rsid w:val="00491995"/>
    <w:rsid w:val="00492694"/>
    <w:rsid w:val="00495182"/>
    <w:rsid w:val="004964DC"/>
    <w:rsid w:val="004B24CD"/>
    <w:rsid w:val="004D0962"/>
    <w:rsid w:val="00511280"/>
    <w:rsid w:val="005129FE"/>
    <w:rsid w:val="00514F36"/>
    <w:rsid w:val="0051718F"/>
    <w:rsid w:val="005219E8"/>
    <w:rsid w:val="005261E0"/>
    <w:rsid w:val="00530E56"/>
    <w:rsid w:val="00543940"/>
    <w:rsid w:val="00543D9E"/>
    <w:rsid w:val="00545576"/>
    <w:rsid w:val="005533FB"/>
    <w:rsid w:val="00553676"/>
    <w:rsid w:val="00567029"/>
    <w:rsid w:val="00593A5B"/>
    <w:rsid w:val="005A00D0"/>
    <w:rsid w:val="005A64FA"/>
    <w:rsid w:val="005B72C0"/>
    <w:rsid w:val="005C4A07"/>
    <w:rsid w:val="005D4D6D"/>
    <w:rsid w:val="005D5EE5"/>
    <w:rsid w:val="005E2E24"/>
    <w:rsid w:val="005E4206"/>
    <w:rsid w:val="005F63A9"/>
    <w:rsid w:val="005F78E8"/>
    <w:rsid w:val="006042C6"/>
    <w:rsid w:val="00606E97"/>
    <w:rsid w:val="00611D3A"/>
    <w:rsid w:val="00627649"/>
    <w:rsid w:val="0063122D"/>
    <w:rsid w:val="006340EE"/>
    <w:rsid w:val="006343ED"/>
    <w:rsid w:val="00635EED"/>
    <w:rsid w:val="00642449"/>
    <w:rsid w:val="00642B22"/>
    <w:rsid w:val="00644C3B"/>
    <w:rsid w:val="00650585"/>
    <w:rsid w:val="0065066A"/>
    <w:rsid w:val="00651893"/>
    <w:rsid w:val="00651D84"/>
    <w:rsid w:val="006564CD"/>
    <w:rsid w:val="00657258"/>
    <w:rsid w:val="00661822"/>
    <w:rsid w:val="00665A67"/>
    <w:rsid w:val="00683D91"/>
    <w:rsid w:val="00686826"/>
    <w:rsid w:val="00690591"/>
    <w:rsid w:val="006941B3"/>
    <w:rsid w:val="006A3051"/>
    <w:rsid w:val="006B3CF1"/>
    <w:rsid w:val="006B4928"/>
    <w:rsid w:val="006B65EB"/>
    <w:rsid w:val="006C1C1E"/>
    <w:rsid w:val="006D0152"/>
    <w:rsid w:val="006D312B"/>
    <w:rsid w:val="006E574B"/>
    <w:rsid w:val="006E73AD"/>
    <w:rsid w:val="006F74C6"/>
    <w:rsid w:val="00702BB1"/>
    <w:rsid w:val="00703D71"/>
    <w:rsid w:val="00716CB0"/>
    <w:rsid w:val="00721366"/>
    <w:rsid w:val="007213F6"/>
    <w:rsid w:val="00723D28"/>
    <w:rsid w:val="00755998"/>
    <w:rsid w:val="00760B46"/>
    <w:rsid w:val="0077566C"/>
    <w:rsid w:val="00776EC9"/>
    <w:rsid w:val="0078266F"/>
    <w:rsid w:val="007874E9"/>
    <w:rsid w:val="007947DD"/>
    <w:rsid w:val="007963F9"/>
    <w:rsid w:val="007A0B3D"/>
    <w:rsid w:val="007B074C"/>
    <w:rsid w:val="007B4505"/>
    <w:rsid w:val="007C130F"/>
    <w:rsid w:val="007E3F5E"/>
    <w:rsid w:val="007E4625"/>
    <w:rsid w:val="007E4F2A"/>
    <w:rsid w:val="007F3169"/>
    <w:rsid w:val="007F4327"/>
    <w:rsid w:val="00812889"/>
    <w:rsid w:val="00814BF0"/>
    <w:rsid w:val="00834F55"/>
    <w:rsid w:val="00837082"/>
    <w:rsid w:val="00846872"/>
    <w:rsid w:val="00862EF2"/>
    <w:rsid w:val="00874691"/>
    <w:rsid w:val="00875028"/>
    <w:rsid w:val="008757AE"/>
    <w:rsid w:val="00881BE7"/>
    <w:rsid w:val="0088576F"/>
    <w:rsid w:val="008870EB"/>
    <w:rsid w:val="00893A79"/>
    <w:rsid w:val="00894D0B"/>
    <w:rsid w:val="00897C50"/>
    <w:rsid w:val="008A123B"/>
    <w:rsid w:val="008A2E1E"/>
    <w:rsid w:val="008C657F"/>
    <w:rsid w:val="008D6896"/>
    <w:rsid w:val="008F4412"/>
    <w:rsid w:val="008F50DD"/>
    <w:rsid w:val="008F5F84"/>
    <w:rsid w:val="008F6A06"/>
    <w:rsid w:val="009031F9"/>
    <w:rsid w:val="00907AC7"/>
    <w:rsid w:val="00914DB0"/>
    <w:rsid w:val="009173DF"/>
    <w:rsid w:val="00924FB4"/>
    <w:rsid w:val="0093133E"/>
    <w:rsid w:val="00931A5A"/>
    <w:rsid w:val="00943588"/>
    <w:rsid w:val="009529A2"/>
    <w:rsid w:val="009578C7"/>
    <w:rsid w:val="00975563"/>
    <w:rsid w:val="00977016"/>
    <w:rsid w:val="009877B9"/>
    <w:rsid w:val="009A3DB7"/>
    <w:rsid w:val="009B1025"/>
    <w:rsid w:val="009B229B"/>
    <w:rsid w:val="009C01D3"/>
    <w:rsid w:val="009C2A88"/>
    <w:rsid w:val="009C5008"/>
    <w:rsid w:val="009E35A5"/>
    <w:rsid w:val="009E3C8E"/>
    <w:rsid w:val="00A10F55"/>
    <w:rsid w:val="00A1561D"/>
    <w:rsid w:val="00A20312"/>
    <w:rsid w:val="00A21291"/>
    <w:rsid w:val="00A23027"/>
    <w:rsid w:val="00A25AD5"/>
    <w:rsid w:val="00A25E0F"/>
    <w:rsid w:val="00A272B6"/>
    <w:rsid w:val="00A43467"/>
    <w:rsid w:val="00A52EF6"/>
    <w:rsid w:val="00A60739"/>
    <w:rsid w:val="00A61D11"/>
    <w:rsid w:val="00A67A6B"/>
    <w:rsid w:val="00A76EAF"/>
    <w:rsid w:val="00A83599"/>
    <w:rsid w:val="00A84960"/>
    <w:rsid w:val="00A9429A"/>
    <w:rsid w:val="00AA04BE"/>
    <w:rsid w:val="00AA39A5"/>
    <w:rsid w:val="00AB1852"/>
    <w:rsid w:val="00AB1FF9"/>
    <w:rsid w:val="00AB4C25"/>
    <w:rsid w:val="00AD4F60"/>
    <w:rsid w:val="00AD5718"/>
    <w:rsid w:val="00AF09CB"/>
    <w:rsid w:val="00AF16CA"/>
    <w:rsid w:val="00AF6091"/>
    <w:rsid w:val="00B0338C"/>
    <w:rsid w:val="00B1223C"/>
    <w:rsid w:val="00B14E9C"/>
    <w:rsid w:val="00B17340"/>
    <w:rsid w:val="00B239E3"/>
    <w:rsid w:val="00B246A6"/>
    <w:rsid w:val="00B26DB6"/>
    <w:rsid w:val="00B32594"/>
    <w:rsid w:val="00B32DE4"/>
    <w:rsid w:val="00B357FB"/>
    <w:rsid w:val="00B532EA"/>
    <w:rsid w:val="00B57D2C"/>
    <w:rsid w:val="00B62CA9"/>
    <w:rsid w:val="00B65485"/>
    <w:rsid w:val="00B67395"/>
    <w:rsid w:val="00B75BC8"/>
    <w:rsid w:val="00B85475"/>
    <w:rsid w:val="00BB47F8"/>
    <w:rsid w:val="00BC6ED5"/>
    <w:rsid w:val="00BD5A93"/>
    <w:rsid w:val="00BE515A"/>
    <w:rsid w:val="00BF5C70"/>
    <w:rsid w:val="00C018D1"/>
    <w:rsid w:val="00C03D93"/>
    <w:rsid w:val="00C14EDC"/>
    <w:rsid w:val="00C26170"/>
    <w:rsid w:val="00C306F9"/>
    <w:rsid w:val="00C3457E"/>
    <w:rsid w:val="00C427F5"/>
    <w:rsid w:val="00C510E6"/>
    <w:rsid w:val="00C53734"/>
    <w:rsid w:val="00C55412"/>
    <w:rsid w:val="00C63E7B"/>
    <w:rsid w:val="00C75356"/>
    <w:rsid w:val="00C77237"/>
    <w:rsid w:val="00C85D86"/>
    <w:rsid w:val="00C9455F"/>
    <w:rsid w:val="00C958CC"/>
    <w:rsid w:val="00C958E5"/>
    <w:rsid w:val="00C96850"/>
    <w:rsid w:val="00C9691C"/>
    <w:rsid w:val="00CA0BE5"/>
    <w:rsid w:val="00CA4AD1"/>
    <w:rsid w:val="00CA5959"/>
    <w:rsid w:val="00CB53C6"/>
    <w:rsid w:val="00CC096F"/>
    <w:rsid w:val="00CC36E4"/>
    <w:rsid w:val="00CD0263"/>
    <w:rsid w:val="00CE2F62"/>
    <w:rsid w:val="00CE3F1B"/>
    <w:rsid w:val="00CE5B30"/>
    <w:rsid w:val="00CE6591"/>
    <w:rsid w:val="00CE6AAF"/>
    <w:rsid w:val="00CF0D4C"/>
    <w:rsid w:val="00CF2CB0"/>
    <w:rsid w:val="00CF4891"/>
    <w:rsid w:val="00CF6FF8"/>
    <w:rsid w:val="00D00B1D"/>
    <w:rsid w:val="00D074F2"/>
    <w:rsid w:val="00D07B1B"/>
    <w:rsid w:val="00D125B1"/>
    <w:rsid w:val="00D139CD"/>
    <w:rsid w:val="00D20BCC"/>
    <w:rsid w:val="00D248FB"/>
    <w:rsid w:val="00D27886"/>
    <w:rsid w:val="00D27BAD"/>
    <w:rsid w:val="00D32187"/>
    <w:rsid w:val="00D3326A"/>
    <w:rsid w:val="00D33A56"/>
    <w:rsid w:val="00D42282"/>
    <w:rsid w:val="00D45DC0"/>
    <w:rsid w:val="00D83F45"/>
    <w:rsid w:val="00D8437D"/>
    <w:rsid w:val="00D87853"/>
    <w:rsid w:val="00D9174A"/>
    <w:rsid w:val="00DA07AE"/>
    <w:rsid w:val="00DA2254"/>
    <w:rsid w:val="00DA436C"/>
    <w:rsid w:val="00DA5AD3"/>
    <w:rsid w:val="00DB2407"/>
    <w:rsid w:val="00DB37EB"/>
    <w:rsid w:val="00DD01DA"/>
    <w:rsid w:val="00DD023B"/>
    <w:rsid w:val="00DD5F26"/>
    <w:rsid w:val="00DE22D5"/>
    <w:rsid w:val="00DE30C1"/>
    <w:rsid w:val="00DF4370"/>
    <w:rsid w:val="00DF6945"/>
    <w:rsid w:val="00DF7765"/>
    <w:rsid w:val="00E01F96"/>
    <w:rsid w:val="00E13EF9"/>
    <w:rsid w:val="00E13FE7"/>
    <w:rsid w:val="00E1799A"/>
    <w:rsid w:val="00E21351"/>
    <w:rsid w:val="00E23702"/>
    <w:rsid w:val="00E251FE"/>
    <w:rsid w:val="00E26499"/>
    <w:rsid w:val="00E31C26"/>
    <w:rsid w:val="00E33C80"/>
    <w:rsid w:val="00E3739A"/>
    <w:rsid w:val="00E40867"/>
    <w:rsid w:val="00E40E2F"/>
    <w:rsid w:val="00E44EF4"/>
    <w:rsid w:val="00E50782"/>
    <w:rsid w:val="00E52EF3"/>
    <w:rsid w:val="00E5445D"/>
    <w:rsid w:val="00E54FFA"/>
    <w:rsid w:val="00E60AA5"/>
    <w:rsid w:val="00E61BDB"/>
    <w:rsid w:val="00E63F28"/>
    <w:rsid w:val="00E64E6C"/>
    <w:rsid w:val="00E67523"/>
    <w:rsid w:val="00E740F3"/>
    <w:rsid w:val="00E81AA7"/>
    <w:rsid w:val="00E83480"/>
    <w:rsid w:val="00E877E7"/>
    <w:rsid w:val="00EA0598"/>
    <w:rsid w:val="00EA5687"/>
    <w:rsid w:val="00EB4E4B"/>
    <w:rsid w:val="00EC25FF"/>
    <w:rsid w:val="00ED0407"/>
    <w:rsid w:val="00ED1569"/>
    <w:rsid w:val="00ED3310"/>
    <w:rsid w:val="00ED530E"/>
    <w:rsid w:val="00EF6057"/>
    <w:rsid w:val="00F1230A"/>
    <w:rsid w:val="00F13107"/>
    <w:rsid w:val="00F15BE0"/>
    <w:rsid w:val="00F17D67"/>
    <w:rsid w:val="00F22CC1"/>
    <w:rsid w:val="00F251BD"/>
    <w:rsid w:val="00F36C2A"/>
    <w:rsid w:val="00F57849"/>
    <w:rsid w:val="00F664D5"/>
    <w:rsid w:val="00F75C42"/>
    <w:rsid w:val="00F76418"/>
    <w:rsid w:val="00F9389C"/>
    <w:rsid w:val="00F96B65"/>
    <w:rsid w:val="00FA4D9D"/>
    <w:rsid w:val="00FA5AFE"/>
    <w:rsid w:val="00FB6517"/>
    <w:rsid w:val="00FB6E61"/>
    <w:rsid w:val="00FD3839"/>
    <w:rsid w:val="00FD3C26"/>
    <w:rsid w:val="00FD4D6F"/>
    <w:rsid w:val="00FD5CDA"/>
    <w:rsid w:val="00FD7A9C"/>
    <w:rsid w:val="00FF3F1F"/>
    <w:rsid w:val="00FF5D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4D4"/>
  <w15:chartTrackingRefBased/>
  <w15:docId w15:val="{EA6079AC-DFFE-43B9-9ADC-D6728E4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288"/>
    <w:rPr>
      <w:sz w:val="20"/>
      <w:szCs w:val="20"/>
    </w:rPr>
  </w:style>
  <w:style w:type="character" w:styleId="FootnoteReference">
    <w:name w:val="footnote reference"/>
    <w:basedOn w:val="DefaultParagraphFont"/>
    <w:uiPriority w:val="99"/>
    <w:semiHidden/>
    <w:unhideWhenUsed/>
    <w:rsid w:val="000D2288"/>
    <w:rPr>
      <w:vertAlign w:val="superscript"/>
    </w:rPr>
  </w:style>
  <w:style w:type="character" w:customStyle="1" w:styleId="Heading1Char">
    <w:name w:val="Heading 1 Char"/>
    <w:basedOn w:val="DefaultParagraphFont"/>
    <w:link w:val="Heading1"/>
    <w:uiPriority w:val="9"/>
    <w:rsid w:val="009C2A88"/>
    <w:rPr>
      <w:rFonts w:ascii="Times New Roman" w:eastAsia="Times New Roman" w:hAnsi="Times New Roman" w:cs="Times New Roman"/>
      <w:b/>
      <w:bCs/>
      <w:kern w:val="36"/>
      <w:sz w:val="48"/>
      <w:szCs w:val="48"/>
      <w:lang w:eastAsia="en-ZA"/>
    </w:rPr>
  </w:style>
  <w:style w:type="character" w:customStyle="1" w:styleId="coparagraphnumber">
    <w:name w:val="co_paragraphnumber"/>
    <w:basedOn w:val="DefaultParagraphFont"/>
    <w:rsid w:val="009C2A88"/>
  </w:style>
  <w:style w:type="character" w:styleId="Hyperlink">
    <w:name w:val="Hyperlink"/>
    <w:basedOn w:val="DefaultParagraphFont"/>
    <w:uiPriority w:val="99"/>
    <w:unhideWhenUsed/>
    <w:rsid w:val="009C2A88"/>
    <w:rPr>
      <w:color w:val="0000FF"/>
      <w:u w:val="single"/>
    </w:rPr>
  </w:style>
  <w:style w:type="character" w:customStyle="1" w:styleId="cohidesearchterm">
    <w:name w:val="co_hidesearchterm"/>
    <w:basedOn w:val="DefaultParagraphFont"/>
    <w:rsid w:val="009C2A88"/>
  </w:style>
  <w:style w:type="character" w:styleId="Emphasis">
    <w:name w:val="Emphasis"/>
    <w:basedOn w:val="DefaultParagraphFont"/>
    <w:uiPriority w:val="20"/>
    <w:qFormat/>
    <w:rsid w:val="005E4206"/>
    <w:rPr>
      <w:i/>
      <w:iCs/>
    </w:rPr>
  </w:style>
  <w:style w:type="character" w:customStyle="1" w:styleId="UnresolvedMention">
    <w:name w:val="Unresolved Mention"/>
    <w:basedOn w:val="DefaultParagraphFont"/>
    <w:uiPriority w:val="99"/>
    <w:semiHidden/>
    <w:unhideWhenUsed/>
    <w:rsid w:val="00C958E5"/>
    <w:rPr>
      <w:color w:val="605E5C"/>
      <w:shd w:val="clear" w:color="auto" w:fill="E1DFDD"/>
    </w:rPr>
  </w:style>
  <w:style w:type="paragraph" w:styleId="ListParagraph">
    <w:name w:val="List Paragraph"/>
    <w:basedOn w:val="Normal"/>
    <w:uiPriority w:val="34"/>
    <w:qFormat/>
    <w:rsid w:val="003E1310"/>
    <w:pPr>
      <w:ind w:left="720"/>
      <w:contextualSpacing/>
    </w:pPr>
  </w:style>
  <w:style w:type="character" w:styleId="FollowedHyperlink">
    <w:name w:val="FollowedHyperlink"/>
    <w:basedOn w:val="DefaultParagraphFont"/>
    <w:uiPriority w:val="99"/>
    <w:semiHidden/>
    <w:unhideWhenUsed/>
    <w:rsid w:val="009A3DB7"/>
    <w:rPr>
      <w:color w:val="954F72" w:themeColor="followedHyperlink"/>
      <w:u w:val="single"/>
    </w:rPr>
  </w:style>
  <w:style w:type="character" w:customStyle="1" w:styleId="cohl">
    <w:name w:val="co_hl"/>
    <w:basedOn w:val="DefaultParagraphFont"/>
    <w:rsid w:val="00543D9E"/>
  </w:style>
  <w:style w:type="paragraph" w:styleId="BalloonText">
    <w:name w:val="Balloon Text"/>
    <w:basedOn w:val="Normal"/>
    <w:link w:val="BalloonTextChar"/>
    <w:uiPriority w:val="99"/>
    <w:semiHidden/>
    <w:unhideWhenUsed/>
    <w:rsid w:val="0046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6"/>
    <w:rPr>
      <w:rFonts w:ascii="Segoe UI" w:hAnsi="Segoe UI" w:cs="Segoe UI"/>
      <w:sz w:val="18"/>
      <w:szCs w:val="18"/>
    </w:rPr>
  </w:style>
  <w:style w:type="paragraph" w:styleId="Header">
    <w:name w:val="header"/>
    <w:basedOn w:val="Normal"/>
    <w:link w:val="HeaderChar"/>
    <w:uiPriority w:val="99"/>
    <w:unhideWhenUsed/>
    <w:rsid w:val="008F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DD"/>
  </w:style>
  <w:style w:type="paragraph" w:styleId="Footer">
    <w:name w:val="footer"/>
    <w:basedOn w:val="Normal"/>
    <w:link w:val="FooterChar"/>
    <w:uiPriority w:val="99"/>
    <w:unhideWhenUsed/>
    <w:rsid w:val="008F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2635">
      <w:bodyDiv w:val="1"/>
      <w:marLeft w:val="0"/>
      <w:marRight w:val="0"/>
      <w:marTop w:val="0"/>
      <w:marBottom w:val="0"/>
      <w:divBdr>
        <w:top w:val="none" w:sz="0" w:space="0" w:color="auto"/>
        <w:left w:val="none" w:sz="0" w:space="0" w:color="auto"/>
        <w:bottom w:val="none" w:sz="0" w:space="0" w:color="auto"/>
        <w:right w:val="none" w:sz="0" w:space="0" w:color="auto"/>
      </w:divBdr>
    </w:div>
    <w:div w:id="722683119">
      <w:bodyDiv w:val="1"/>
      <w:marLeft w:val="0"/>
      <w:marRight w:val="0"/>
      <w:marTop w:val="0"/>
      <w:marBottom w:val="0"/>
      <w:divBdr>
        <w:top w:val="none" w:sz="0" w:space="0" w:color="auto"/>
        <w:left w:val="none" w:sz="0" w:space="0" w:color="auto"/>
        <w:bottom w:val="none" w:sz="0" w:space="0" w:color="auto"/>
        <w:right w:val="none" w:sz="0" w:space="0" w:color="auto"/>
      </w:divBdr>
      <w:divsChild>
        <w:div w:id="298725187">
          <w:marLeft w:val="0"/>
          <w:marRight w:val="0"/>
          <w:marTop w:val="0"/>
          <w:marBottom w:val="0"/>
          <w:divBdr>
            <w:top w:val="none" w:sz="0" w:space="0" w:color="auto"/>
            <w:left w:val="none" w:sz="0" w:space="0" w:color="auto"/>
            <w:bottom w:val="none" w:sz="0" w:space="0" w:color="auto"/>
            <w:right w:val="none" w:sz="0" w:space="0" w:color="auto"/>
          </w:divBdr>
          <w:divsChild>
            <w:div w:id="1041511948">
              <w:marLeft w:val="0"/>
              <w:marRight w:val="0"/>
              <w:marTop w:val="0"/>
              <w:marBottom w:val="0"/>
              <w:divBdr>
                <w:top w:val="none" w:sz="0" w:space="0" w:color="auto"/>
                <w:left w:val="none" w:sz="0" w:space="0" w:color="auto"/>
                <w:bottom w:val="none" w:sz="0" w:space="0" w:color="auto"/>
                <w:right w:val="none" w:sz="0" w:space="0" w:color="auto"/>
              </w:divBdr>
              <w:divsChild>
                <w:div w:id="33083780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5772">
      <w:bodyDiv w:val="1"/>
      <w:marLeft w:val="0"/>
      <w:marRight w:val="0"/>
      <w:marTop w:val="0"/>
      <w:marBottom w:val="0"/>
      <w:divBdr>
        <w:top w:val="none" w:sz="0" w:space="0" w:color="auto"/>
        <w:left w:val="none" w:sz="0" w:space="0" w:color="auto"/>
        <w:bottom w:val="none" w:sz="0" w:space="0" w:color="auto"/>
        <w:right w:val="none" w:sz="0" w:space="0" w:color="auto"/>
      </w:divBdr>
      <w:divsChild>
        <w:div w:id="44184192">
          <w:marLeft w:val="0"/>
          <w:marRight w:val="0"/>
          <w:marTop w:val="120"/>
          <w:marBottom w:val="0"/>
          <w:divBdr>
            <w:top w:val="none" w:sz="0" w:space="0" w:color="auto"/>
            <w:left w:val="none" w:sz="0" w:space="0" w:color="auto"/>
            <w:bottom w:val="none" w:sz="0" w:space="0" w:color="auto"/>
            <w:right w:val="none" w:sz="0" w:space="0" w:color="auto"/>
          </w:divBdr>
          <w:divsChild>
            <w:div w:id="1122963757">
              <w:marLeft w:val="0"/>
              <w:marRight w:val="0"/>
              <w:marTop w:val="0"/>
              <w:marBottom w:val="0"/>
              <w:divBdr>
                <w:top w:val="none" w:sz="0" w:space="0" w:color="auto"/>
                <w:left w:val="none" w:sz="0" w:space="0" w:color="auto"/>
                <w:bottom w:val="none" w:sz="0" w:space="0" w:color="auto"/>
                <w:right w:val="none" w:sz="0" w:space="0" w:color="auto"/>
              </w:divBdr>
              <w:divsChild>
                <w:div w:id="40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220">
          <w:marLeft w:val="0"/>
          <w:marRight w:val="0"/>
          <w:marTop w:val="120"/>
          <w:marBottom w:val="0"/>
          <w:divBdr>
            <w:top w:val="none" w:sz="0" w:space="0" w:color="auto"/>
            <w:left w:val="none" w:sz="0" w:space="0" w:color="auto"/>
            <w:bottom w:val="none" w:sz="0" w:space="0" w:color="auto"/>
            <w:right w:val="none" w:sz="0" w:space="0" w:color="auto"/>
          </w:divBdr>
          <w:divsChild>
            <w:div w:id="1391466807">
              <w:marLeft w:val="0"/>
              <w:marRight w:val="0"/>
              <w:marTop w:val="0"/>
              <w:marBottom w:val="0"/>
              <w:divBdr>
                <w:top w:val="none" w:sz="0" w:space="0" w:color="auto"/>
                <w:left w:val="none" w:sz="0" w:space="0" w:color="auto"/>
                <w:bottom w:val="none" w:sz="0" w:space="0" w:color="auto"/>
                <w:right w:val="none" w:sz="0" w:space="0" w:color="auto"/>
              </w:divBdr>
              <w:divsChild>
                <w:div w:id="16686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uk.practicallaw.thomsonreuters.com/Document/I5515E880A28511E9B46DD6875D040B73/View/FullText.html?originationContext=document&amp;transitionType=DocumentItem&amp;contextData=%28sc.Default%29&amp;comp=wluk" TargetMode="External"/><Relationship Id="rId13" Type="http://schemas.openxmlformats.org/officeDocument/2006/relationships/hyperlink" Target="https://uk.practicallaw.thomsonreuters.com/Document/I22E74EA0E42811DA8FC2A0F0355337E9/View/FullText.html?navigationPath=Search%2Fv1%2Fresults%2Fnavigation%2Fi0ad62aef0000017135a61456e2539e29%3FNav%3DRESEARCH_COMBINED_WLUK%26fragmentIdentifier%3DI22E72790E42811DA8FC2A0F0355337E9%26parentRank%3D0%26startIndex%3D1%26contextData%3D%2528sc.Search%2529%26transitionType%3DSearchItem&amp;listSource=Search&amp;listPageSource=4b4160e21a3404638bd02a6aed4a4bb9&amp;list=RESEARCH_COMBINED_WLUK&amp;rank=1&amp;sessionScopeId=9f74873d41d114e674cc24e334182add37eb4d8ca2b8a89906ba09e44555ece0&amp;originationContext=Search+Result&amp;transitionType=SearchItem&amp;contextData=%28sc.Search%29&amp;navId=1BFEFD57E26124B1E305099097FB8541&amp;comp=wluk" TargetMode="External"/><Relationship Id="rId3" Type="http://schemas.openxmlformats.org/officeDocument/2006/relationships/hyperlink" Target="https://uk.practicallaw.thomsonreuters.com/Document/IED8E14A0E42711DA8FC2A0F0355337E9/View/FullText.html?originationContext=document&amp;transitionType=DocumentItem&amp;contextData=%28sc.CommentaryUKLink%29&amp;comp=pluk" TargetMode="External"/><Relationship Id="rId7" Type="http://schemas.openxmlformats.org/officeDocument/2006/relationships/hyperlink" Target="https://uk.practicallaw.thomsonreuters.com/Document/I725055E09AE311E6A9D0859E1792F573/View/FullText.html?originationContext=document&amp;transitionType=DocumentItem&amp;contextData=%28sc.Default%29&amp;navId=FC6B00E9584E2702C3E0177C188A0166&amp;comp=pluk" TargetMode="External"/><Relationship Id="rId12" Type="http://schemas.openxmlformats.org/officeDocument/2006/relationships/hyperlink" Target="https://uk.practicallaw.thomsonreuters.com/Document/I236742D0AB9A11E3AB58BBAF4CDEDC4B/View/FullText.html?originationContext=document&amp;transitionType=DocumentItem&amp;contextData=%28sc.CommentaryUKLink%29&amp;navId=E8BE372FF981C8169B8F73C8A1C05162&amp;comp=books" TargetMode="External"/><Relationship Id="rId2" Type="http://schemas.openxmlformats.org/officeDocument/2006/relationships/hyperlink" Target="https://uk.practicallaw.thomsonreuters.com/Document/I9A21DDC0BC9311E091D7A20F02DA1062/View/FullText.html?originationContext=document&amp;transitionType=DocumentItem&amp;contextData=%28sc.CommentaryUKLink%29&amp;comp=pluk" TargetMode="External"/><Relationship Id="rId1" Type="http://schemas.openxmlformats.org/officeDocument/2006/relationships/hyperlink" Target="https://uk.practicallaw.thomsonreuters.com/Document/IED8E14A0E42711DA8FC2A0F0355337E9/View/FullText.html?originationContext=document&amp;transitionType=DocumentItem&amp;contextData=%28sc.CommentaryUKLink%29&amp;comp=pluk" TargetMode="External"/><Relationship Id="rId6" Type="http://schemas.openxmlformats.org/officeDocument/2006/relationships/hyperlink" Target="https://uk.practicallaw.thomsonreuters.com/Document/IED8E14A0E42711DA8FC2A0F0355337E9/View/FullText.html?originationContext=document&amp;transitionType=DocumentItem&amp;contextData=%28sc.CommentaryUKLink%29&amp;comp=pluk" TargetMode="External"/><Relationship Id="rId11" Type="http://schemas.openxmlformats.org/officeDocument/2006/relationships/hyperlink" Target="https://uk.practicallaw.thomsonreuters.com/Document/IA527FE10E42711DA8FC2A0F0355337E9/View/FullText.html?originationContext=document&amp;transitionType=DocumentItem&amp;contextData=%28sc.CommentaryUKLink%29&amp;navId=7D3F819846B6EFBF2F9982DF80FB8948&amp;comp=books" TargetMode="External"/><Relationship Id="rId5" Type="http://schemas.openxmlformats.org/officeDocument/2006/relationships/hyperlink" Target="https://uk.practicallaw.thomsonreuters.com/Document/IED8D9F70E42711DA8FC2A0F0355337E9/View/FullText.html?originationContext=document&amp;transitionType=DocumentItem&amp;contextData=%28sc.CommentaryUKLink%29&amp;comp=pluk" TargetMode="External"/><Relationship Id="rId15" Type="http://schemas.openxmlformats.org/officeDocument/2006/relationships/hyperlink" Target="https://uk.practicallaw.thomsonreuters.com/Document/IF8D58AE0E42811DA8FC2A0F0355337E9/View/FullText.html?originationContext=document&amp;transitionType=DocumentItem&amp;contextData=%28sc.CommentaryUKLink%29&amp;comp=books" TargetMode="External"/><Relationship Id="rId10" Type="http://schemas.openxmlformats.org/officeDocument/2006/relationships/hyperlink" Target="https://uk.practicallaw.thomsonreuters.com/Document/I0A7C8B50E42811DA8FC2A0F0355337E9/View/FullText.html?originationContext=document&amp;transitionType=DocumentItem&amp;contextData=%28sc.DocLink%29&amp;navId=67A3BA31D2716CB5561419B79B837450&amp;comp=books" TargetMode="External"/><Relationship Id="rId4" Type="http://schemas.openxmlformats.org/officeDocument/2006/relationships/hyperlink" Target="https://uk.practicallaw.thomsonreuters.com/Document/I9A21DDC0BC9311E091D7A20F02DA1062/View/FullText.html?originationContext=document&amp;transitionType=DocumentItem&amp;contextData=%28sc.CommentaryUKLink%29&amp;comp=pluk" TargetMode="External"/><Relationship Id="rId9" Type="http://schemas.openxmlformats.org/officeDocument/2006/relationships/hyperlink" Target="https://uk.practicallaw.thomsonreuters.com/Document/I955A9510E42711DA8FC2A0F0355337E9/View/FullText.html?originationContext=document&amp;transitionType=DocumentItem&amp;contextData=%28sc.DocLink%29&amp;comp=wluk" TargetMode="External"/><Relationship Id="rId14" Type="http://schemas.openxmlformats.org/officeDocument/2006/relationships/hyperlink" Target="https://uk.practicallaw.thomsonreuters.com/Document/IA66E87D0E42711DA8FC2A0F0355337E9/View/FullText.html?originationContext=document&amp;transitionType=DocumentItem&amp;contextData=%28sc.CommentaryUKLink%29&amp;navId=65C929A63E34545028486565E97F711B&amp;com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5065A3C34E645BF4334892B19EDB6" ma:contentTypeVersion="10" ma:contentTypeDescription="Create a new document." ma:contentTypeScope="" ma:versionID="d78caf72acabb16e28a6053b6ed5cd74">
  <xsd:schema xmlns:xsd="http://www.w3.org/2001/XMLSchema" xmlns:xs="http://www.w3.org/2001/XMLSchema" xmlns:p="http://schemas.microsoft.com/office/2006/metadata/properties" xmlns:ns3="a1e9adb6-d740-4fb9-97a2-e37758fd5bc8" targetNamespace="http://schemas.microsoft.com/office/2006/metadata/properties" ma:root="true" ma:fieldsID="38cb33f5454a809e0271a560c289e072" ns3:_="">
    <xsd:import namespace="a1e9adb6-d740-4fb9-97a2-e37758fd5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adb6-d740-4fb9-97a2-e37758fd5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AF68-53D7-435E-9EBF-3E16F51AD162}">
  <ds:schemaRefs>
    <ds:schemaRef ds:uri="http://schemas.microsoft.com/sharepoint/v3/contenttype/forms"/>
  </ds:schemaRefs>
</ds:datastoreItem>
</file>

<file path=customXml/itemProps2.xml><?xml version="1.0" encoding="utf-8"?>
<ds:datastoreItem xmlns:ds="http://schemas.openxmlformats.org/officeDocument/2006/customXml" ds:itemID="{C87A5F19-38F2-4834-B136-D6BA0F59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adb6-d740-4fb9-97a2-e37758fd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E7B1D-B33F-4023-9E47-9C80D8917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Balmelli</dc:creator>
  <cp:keywords/>
  <dc:description/>
  <cp:lastModifiedBy>Anna McGown</cp:lastModifiedBy>
  <cp:revision>2</cp:revision>
  <dcterms:created xsi:type="dcterms:W3CDTF">2020-04-07T08:43:00Z</dcterms:created>
  <dcterms:modified xsi:type="dcterms:W3CDTF">2020-04-07T08:43:00Z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0x01010084E5065A3C34E645BF4334892B19EDB6</vt:lpwstr>
  </property>
</Properties>
</file>